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59E729F9" w:rsidR="00F05443" w:rsidRPr="00113306" w:rsidRDefault="00C473E8" w:rsidP="00994C9C">
      <w:pPr>
        <w:pStyle w:val="Szvegtrzs3"/>
        <w:jc w:val="center"/>
        <w:rPr>
          <w:b/>
          <w:bCs/>
          <w:color w:val="auto"/>
        </w:rPr>
      </w:pPr>
      <w:r w:rsidRPr="00083DA4">
        <w:rPr>
          <w:b/>
          <w:bCs/>
          <w:sz w:val="22"/>
          <w:szCs w:val="20"/>
        </w:rPr>
        <w:t>„</w:t>
      </w:r>
      <w:r w:rsidR="003618CC">
        <w:rPr>
          <w:b/>
          <w:bCs/>
          <w:sz w:val="22"/>
          <w:szCs w:val="22"/>
          <w:shd w:val="clear" w:color="auto" w:fill="FFFFFF"/>
        </w:rPr>
        <w:t>Élhető településközpont kialakítása</w:t>
      </w:r>
      <w:r>
        <w:rPr>
          <w:b/>
          <w:sz w:val="22"/>
          <w:szCs w:val="22"/>
        </w:rPr>
        <w:t>”</w:t>
      </w:r>
      <w:r w:rsidR="00556022">
        <w:rPr>
          <w:b/>
          <w:sz w:val="22"/>
          <w:szCs w:val="22"/>
        </w:rPr>
        <w:t xml:space="preserve"> </w:t>
      </w:r>
      <w:proofErr w:type="spellStart"/>
      <w:r w:rsidR="00556022">
        <w:rPr>
          <w:b/>
          <w:sz w:val="22"/>
          <w:szCs w:val="22"/>
        </w:rPr>
        <w:t>ism</w:t>
      </w:r>
      <w:proofErr w:type="spellEnd"/>
      <w:r w:rsidR="00556022">
        <w:rPr>
          <w:b/>
          <w:sz w:val="22"/>
          <w:szCs w:val="22"/>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083E05DE"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C473E8" w:rsidRPr="00C473E8">
        <w:rPr>
          <w:b/>
          <w:bCs/>
          <w:sz w:val="24"/>
          <w:szCs w:val="24"/>
        </w:rPr>
        <w:t>„</w:t>
      </w:r>
      <w:r w:rsidR="003618CC">
        <w:rPr>
          <w:b/>
          <w:bCs/>
          <w:sz w:val="24"/>
          <w:szCs w:val="24"/>
          <w:shd w:val="clear" w:color="auto" w:fill="FFFFFF"/>
        </w:rPr>
        <w:t>Élhető településközpont kialakítása</w:t>
      </w:r>
      <w:r w:rsidR="00C473E8" w:rsidRPr="00C473E8">
        <w:rPr>
          <w:b/>
          <w:sz w:val="24"/>
          <w:szCs w:val="24"/>
        </w:rPr>
        <w:t>”</w:t>
      </w:r>
      <w:r w:rsidR="00556022">
        <w:rPr>
          <w:b/>
          <w:sz w:val="24"/>
          <w:szCs w:val="24"/>
        </w:rPr>
        <w:t xml:space="preserve"> </w:t>
      </w:r>
      <w:proofErr w:type="spellStart"/>
      <w:r w:rsidR="00556022">
        <w:rPr>
          <w:b/>
          <w:sz w:val="24"/>
          <w:szCs w:val="24"/>
        </w:rPr>
        <w:t>ism</w:t>
      </w:r>
      <w:proofErr w:type="spellEnd"/>
      <w:r w:rsidR="00556022">
        <w:rPr>
          <w:b/>
          <w:sz w:val="24"/>
          <w:szCs w:val="24"/>
        </w:rPr>
        <w:t>.</w:t>
      </w:r>
      <w:r w:rsidR="00CC38E1" w:rsidRPr="00C473E8">
        <w:rPr>
          <w:b/>
          <w:sz w:val="24"/>
          <w:szCs w:val="24"/>
        </w:rPr>
        <w:t xml:space="preserve"> </w:t>
      </w:r>
      <w:r w:rsidR="005D03DC" w:rsidRPr="00C473E8">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556022">
        <w:rPr>
          <w:sz w:val="24"/>
          <w:szCs w:val="24"/>
        </w:rPr>
        <w:t>tárgyalásos</w:t>
      </w:r>
      <w:r w:rsidR="00EB2365" w:rsidRPr="00113306">
        <w:rPr>
          <w:sz w:val="24"/>
          <w:szCs w:val="24"/>
        </w:rPr>
        <w:t xml:space="preserve">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C765DE" w:rsidRDefault="00CC38E1" w:rsidP="005D03DC">
      <w:pPr>
        <w:jc w:val="both"/>
        <w:rPr>
          <w:sz w:val="24"/>
          <w:szCs w:val="24"/>
        </w:rPr>
      </w:pPr>
    </w:p>
    <w:p w14:paraId="7D617490" w14:textId="77777777" w:rsidR="007464D0" w:rsidRPr="00C765DE" w:rsidRDefault="002B3FFC" w:rsidP="00BF7B77">
      <w:pPr>
        <w:pStyle w:val="Cmsor1"/>
        <w:jc w:val="left"/>
        <w:rPr>
          <w:szCs w:val="24"/>
          <w:u w:val="single"/>
        </w:rPr>
      </w:pPr>
      <w:r w:rsidRPr="00C765DE">
        <w:rPr>
          <w:szCs w:val="24"/>
          <w:u w:val="single"/>
        </w:rPr>
        <w:t>I. 1</w:t>
      </w:r>
      <w:r w:rsidR="00C52C7A" w:rsidRPr="00C765DE">
        <w:rPr>
          <w:szCs w:val="24"/>
          <w:u w:val="single"/>
        </w:rPr>
        <w:t xml:space="preserve">. </w:t>
      </w:r>
      <w:r w:rsidR="00C90CC8" w:rsidRPr="00C765DE">
        <w:rPr>
          <w:szCs w:val="24"/>
          <w:u w:val="single"/>
        </w:rPr>
        <w:t xml:space="preserve">Lebonyolító </w:t>
      </w:r>
      <w:r w:rsidRPr="00C765DE">
        <w:rPr>
          <w:szCs w:val="24"/>
          <w:u w:val="single"/>
        </w:rPr>
        <w:t>szervezet</w:t>
      </w:r>
      <w:r w:rsidR="00C52C7A" w:rsidRPr="00C765DE">
        <w:rPr>
          <w:szCs w:val="24"/>
          <w:u w:val="single"/>
        </w:rPr>
        <w:t xml:space="preserve"> </w:t>
      </w:r>
      <w:bookmarkStart w:id="1" w:name="_Toc231892825"/>
      <w:bookmarkStart w:id="2" w:name="_Toc403034680"/>
    </w:p>
    <w:bookmarkEnd w:id="1"/>
    <w:bookmarkEnd w:id="2"/>
    <w:p w14:paraId="27EDE8CA" w14:textId="77777777" w:rsidR="00C870B6" w:rsidRPr="00C765DE" w:rsidRDefault="00C870B6" w:rsidP="00C870B6">
      <w:pPr>
        <w:spacing w:after="120"/>
        <w:jc w:val="both"/>
        <w:rPr>
          <w:rFonts w:eastAsia="Meiryo"/>
          <w:sz w:val="24"/>
          <w:szCs w:val="24"/>
        </w:rPr>
      </w:pPr>
      <w:r w:rsidRPr="00C765DE">
        <w:rPr>
          <w:rFonts w:eastAsia="Meiryo"/>
          <w:sz w:val="24"/>
          <w:szCs w:val="24"/>
        </w:rPr>
        <w:t xml:space="preserve">Lebonyolító: </w:t>
      </w:r>
    </w:p>
    <w:p w14:paraId="6D08645F" w14:textId="69D91F2B" w:rsidR="00C870B6" w:rsidRPr="00C765DE" w:rsidRDefault="00C870B6" w:rsidP="00C870B6">
      <w:pPr>
        <w:spacing w:after="120"/>
        <w:jc w:val="both"/>
        <w:rPr>
          <w:rFonts w:eastAsia="Meiryo"/>
          <w:sz w:val="24"/>
          <w:szCs w:val="24"/>
        </w:rPr>
      </w:pPr>
      <w:r w:rsidRPr="00C765DE">
        <w:rPr>
          <w:rFonts w:eastAsia="Meiryo"/>
          <w:sz w:val="24"/>
          <w:szCs w:val="24"/>
        </w:rPr>
        <w:t xml:space="preserve">cégnév: </w:t>
      </w:r>
      <w:r w:rsidR="00681761" w:rsidRPr="00C765DE">
        <w:rPr>
          <w:rFonts w:eastAsia="Meiryo"/>
          <w:sz w:val="24"/>
          <w:szCs w:val="24"/>
        </w:rPr>
        <w:t>CENTRÁLBER Kft.</w:t>
      </w:r>
      <w:r w:rsidRPr="00C765DE">
        <w:rPr>
          <w:rFonts w:eastAsia="Meiryo"/>
          <w:sz w:val="24"/>
          <w:szCs w:val="24"/>
        </w:rPr>
        <w:t xml:space="preserve"> </w:t>
      </w:r>
    </w:p>
    <w:p w14:paraId="75FF8C4A" w14:textId="2B6D9C84" w:rsidR="00C870B6" w:rsidRPr="00C765DE" w:rsidRDefault="00C870B6" w:rsidP="00C870B6">
      <w:pPr>
        <w:spacing w:after="120"/>
        <w:jc w:val="both"/>
        <w:rPr>
          <w:rFonts w:eastAsia="Meiryo"/>
          <w:sz w:val="24"/>
          <w:szCs w:val="24"/>
        </w:rPr>
      </w:pPr>
      <w:r w:rsidRPr="00C765DE">
        <w:rPr>
          <w:rFonts w:eastAsia="Meiryo"/>
          <w:sz w:val="24"/>
          <w:szCs w:val="24"/>
        </w:rPr>
        <w:t xml:space="preserve">székhely: </w:t>
      </w:r>
      <w:r w:rsidR="00C765DE">
        <w:rPr>
          <w:rFonts w:eastAsia="Meiryo"/>
          <w:sz w:val="24"/>
          <w:szCs w:val="24"/>
        </w:rPr>
        <w:t>4400 Nyíregyháza, Északi körút 32. fszt. 1.</w:t>
      </w:r>
      <w:r w:rsidRPr="00C765DE">
        <w:rPr>
          <w:rFonts w:eastAsia="Meiryo"/>
          <w:sz w:val="24"/>
          <w:szCs w:val="24"/>
        </w:rPr>
        <w:t xml:space="preserve"> </w:t>
      </w:r>
    </w:p>
    <w:p w14:paraId="67B5F5C8" w14:textId="0E90B2BD" w:rsidR="00C870B6" w:rsidRPr="00C765DE" w:rsidRDefault="00C870B6" w:rsidP="00C870B6">
      <w:pPr>
        <w:spacing w:after="120"/>
        <w:jc w:val="both"/>
        <w:rPr>
          <w:rFonts w:eastAsia="Meiryo"/>
          <w:sz w:val="24"/>
          <w:szCs w:val="24"/>
        </w:rPr>
      </w:pPr>
      <w:r w:rsidRPr="00C765DE">
        <w:rPr>
          <w:rFonts w:eastAsia="Meiryo"/>
          <w:sz w:val="24"/>
          <w:szCs w:val="24"/>
        </w:rPr>
        <w:t xml:space="preserve">kapcsolattartó: </w:t>
      </w:r>
      <w:r w:rsidR="00C765DE">
        <w:rPr>
          <w:rFonts w:eastAsia="Meiryo"/>
          <w:sz w:val="24"/>
          <w:szCs w:val="24"/>
        </w:rPr>
        <w:t>dr. Lévay-Nagy Karolina Mária</w:t>
      </w:r>
      <w:r w:rsidRPr="00C765DE">
        <w:rPr>
          <w:rFonts w:eastAsia="Meiryo"/>
          <w:sz w:val="24"/>
          <w:szCs w:val="24"/>
        </w:rPr>
        <w:t xml:space="preserve"> </w:t>
      </w:r>
    </w:p>
    <w:p w14:paraId="4AA2E015" w14:textId="643B7988" w:rsidR="00C870B6" w:rsidRPr="00C765DE" w:rsidRDefault="00C870B6" w:rsidP="00C870B6">
      <w:pPr>
        <w:spacing w:after="120"/>
        <w:jc w:val="both"/>
        <w:rPr>
          <w:rStyle w:val="Hiperhivatkozs"/>
          <w:rFonts w:eastAsia="Meiryo"/>
          <w:sz w:val="24"/>
          <w:szCs w:val="24"/>
        </w:rPr>
      </w:pPr>
      <w:r w:rsidRPr="00C765DE">
        <w:rPr>
          <w:rFonts w:eastAsia="Meiryo"/>
          <w:sz w:val="24"/>
          <w:szCs w:val="24"/>
        </w:rPr>
        <w:t xml:space="preserve">e-mail cím: </w:t>
      </w:r>
      <w:hyperlink r:id="rId9" w:history="1">
        <w:r w:rsidR="00681761" w:rsidRPr="00C765DE">
          <w:rPr>
            <w:rStyle w:val="Hiperhivatkozs"/>
            <w:rFonts w:eastAsia="Meiryo"/>
            <w:sz w:val="24"/>
            <w:szCs w:val="24"/>
          </w:rPr>
          <w:t>centralberkft21@gmail.com</w:t>
        </w:r>
      </w:hyperlink>
    </w:p>
    <w:p w14:paraId="7BAA6CDA" w14:textId="77777777" w:rsidR="00C870B6" w:rsidRPr="00C765DE" w:rsidRDefault="00C870B6" w:rsidP="00C870B6">
      <w:pPr>
        <w:spacing w:after="120"/>
        <w:jc w:val="both"/>
        <w:rPr>
          <w:rStyle w:val="Hiperhivatkozs"/>
          <w:rFonts w:eastAsia="Meiryo"/>
          <w:sz w:val="24"/>
          <w:szCs w:val="24"/>
        </w:rPr>
      </w:pPr>
    </w:p>
    <w:p w14:paraId="3F245640" w14:textId="77777777" w:rsidR="00C870B6" w:rsidRPr="00C765DE" w:rsidRDefault="00C870B6" w:rsidP="00C870B6">
      <w:pPr>
        <w:spacing w:after="120"/>
        <w:jc w:val="both"/>
        <w:rPr>
          <w:rFonts w:eastAsia="Meiryo"/>
          <w:sz w:val="24"/>
          <w:szCs w:val="24"/>
        </w:rPr>
      </w:pPr>
      <w:r w:rsidRPr="00C765DE">
        <w:rPr>
          <w:rFonts w:eastAsia="Meiryo"/>
          <w:sz w:val="24"/>
          <w:szCs w:val="24"/>
        </w:rPr>
        <w:t>Az eljárásban a felelős akkreditált közbeszerzési szaktanácsadó:</w:t>
      </w:r>
    </w:p>
    <w:p w14:paraId="700DB8FA" w14:textId="700E72F8"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név: dr. Lévay-Nagy Karolina</w:t>
      </w:r>
      <w:r w:rsidR="00C765DE">
        <w:rPr>
          <w:rFonts w:eastAsia="Meiryo"/>
          <w:sz w:val="24"/>
          <w:szCs w:val="24"/>
        </w:rPr>
        <w:t xml:space="preserve"> Mária</w:t>
      </w:r>
    </w:p>
    <w:p w14:paraId="597E45F5"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lajstromszám: 01342</w:t>
      </w:r>
    </w:p>
    <w:p w14:paraId="5C4E9AA6"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levelezési cím: 1112 Budapest, Hegyalja út 90/B. 2. em. 3.  </w:t>
      </w:r>
    </w:p>
    <w:p w14:paraId="4E8FB98E"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e-mail cím: </w:t>
      </w:r>
      <w:hyperlink r:id="rId10" w:history="1">
        <w:r w:rsidRPr="00C765DE">
          <w:rPr>
            <w:rStyle w:val="Hiperhivatkozs"/>
            <w:sz w:val="24"/>
            <w:szCs w:val="24"/>
            <w:shd w:val="clear" w:color="auto" w:fill="FFFFFF"/>
          </w:rPr>
          <w:t>levaykar@gmail.com</w:t>
        </w:r>
      </w:hyperlink>
      <w:r w:rsidRPr="00C765DE">
        <w:rPr>
          <w:sz w:val="24"/>
          <w:szCs w:val="24"/>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w:t>
      </w:r>
      <w:r w:rsidRPr="00113306">
        <w:rPr>
          <w:rFonts w:ascii="Times New Roman" w:eastAsia="Calibri" w:hAnsi="Times New Roman" w:cs="Times New Roman"/>
          <w:b w:val="0"/>
          <w:color w:val="auto"/>
        </w:rPr>
        <w:lastRenderedPageBreak/>
        <w:t>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ca</w:t>
      </w:r>
      <w:proofErr w:type="spellEnd"/>
      <w:r w:rsidRPr="00113306">
        <w:rPr>
          <w:sz w:val="24"/>
          <w:szCs w:val="24"/>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cb</w:t>
      </w:r>
      <w:proofErr w:type="spellEnd"/>
      <w:r w:rsidRPr="00113306">
        <w:rPr>
          <w:sz w:val="24"/>
          <w:szCs w:val="24"/>
        </w:rPr>
        <w:t>)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proofErr w:type="spellStart"/>
      <w:r w:rsidR="00CE6A95" w:rsidRPr="00113306">
        <w:rPr>
          <w:b w:val="0"/>
          <w:szCs w:val="24"/>
        </w:rPr>
        <w:t>word</w:t>
      </w:r>
      <w:proofErr w:type="spellEnd"/>
      <w:r w:rsidR="00CE6A95" w:rsidRPr="00113306">
        <w:rPr>
          <w:b w:val="0"/>
          <w:szCs w:val="24"/>
        </w:rPr>
        <w:t xml:space="preserve">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w:t>
      </w:r>
      <w:r w:rsidRPr="00113306">
        <w:rPr>
          <w:sz w:val="24"/>
          <w:szCs w:val="24"/>
        </w:rPr>
        <w:lastRenderedPageBreak/>
        <w:t>üzemeltetője tájékoztatást tesz közzé. A határidőt úgy kell meghosszabbítani, hogy megfelelő 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lastRenderedPageBreak/>
        <w:t>•</w:t>
      </w:r>
      <w:r w:rsidRPr="00113306">
        <w:rPr>
          <w:color w:val="auto"/>
        </w:rPr>
        <w:tab/>
        <w:t>a közös ajánlattevők nevében eljárni jogosult képviselő – a Kbt. 35. § (2) bekezdés alapján – megnevezése, valamint a cégjegyzésre jogosult – ajánlatot aláíró – személy(</w:t>
      </w:r>
      <w:proofErr w:type="spellStart"/>
      <w:r w:rsidRPr="00113306">
        <w:rPr>
          <w:color w:val="auto"/>
        </w:rPr>
        <w:t>ek</w:t>
      </w:r>
      <w:proofErr w:type="spellEnd"/>
      <w:r w:rsidRPr="00113306">
        <w:rPr>
          <w:color w:val="auto"/>
        </w:rPr>
        <w:t>)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 xml:space="preserve">Az ajánlatban a fentieknek megfelelően meg kell határozni az egyes, teljesítésben részt vevő személyek/szervezetek </w:t>
      </w:r>
      <w:proofErr w:type="spellStart"/>
      <w:r w:rsidRPr="00113306">
        <w:rPr>
          <w:b/>
          <w:color w:val="auto"/>
        </w:rPr>
        <w:t>eljárásbeli</w:t>
      </w:r>
      <w:proofErr w:type="spellEnd"/>
      <w:r w:rsidRPr="00113306">
        <w:rPr>
          <w:b/>
          <w:color w:val="auto"/>
        </w:rPr>
        <w:t xml:space="preserve">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1" w:history="1">
        <w:r w:rsidR="00701493" w:rsidRPr="00113306">
          <w:rPr>
            <w:rStyle w:val="Hiperhivatkozs"/>
            <w:color w:val="auto"/>
            <w:sz w:val="24"/>
            <w:szCs w:val="24"/>
          </w:rPr>
          <w:t>ugyfelszolgalat@pm.gov.hu</w:t>
        </w:r>
      </w:hyperlink>
    </w:p>
    <w:p w14:paraId="10915F83" w14:textId="77777777" w:rsidR="00C32AF2" w:rsidRPr="00113306" w:rsidRDefault="00D47863" w:rsidP="00C32AF2">
      <w:pPr>
        <w:jc w:val="both"/>
        <w:rPr>
          <w:sz w:val="24"/>
          <w:szCs w:val="24"/>
        </w:rPr>
      </w:pPr>
      <w:hyperlink r:id="rId12"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lastRenderedPageBreak/>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D47863" w:rsidP="00C32AF2">
      <w:pPr>
        <w:jc w:val="both"/>
        <w:rPr>
          <w:sz w:val="24"/>
          <w:szCs w:val="24"/>
        </w:rPr>
      </w:pPr>
      <w:hyperlink r:id="rId13"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D47863" w:rsidP="00C32AF2">
      <w:pPr>
        <w:jc w:val="both"/>
        <w:rPr>
          <w:sz w:val="24"/>
          <w:szCs w:val="24"/>
        </w:rPr>
      </w:pPr>
      <w:hyperlink r:id="rId14"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5"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w:t>
      </w:r>
      <w:proofErr w:type="spellStart"/>
      <w:r w:rsidR="00CA151F" w:rsidRPr="00113306">
        <w:rPr>
          <w:color w:val="auto"/>
        </w:rPr>
        <w:t>ában</w:t>
      </w:r>
      <w:proofErr w:type="spellEnd"/>
      <w:r w:rsidR="00CA151F" w:rsidRPr="00113306">
        <w:rPr>
          <w:color w:val="auto"/>
        </w:rPr>
        <w:t xml:space="preserve">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proofErr w:type="spellStart"/>
      <w:r w:rsidRPr="00113306">
        <w:rPr>
          <w:sz w:val="24"/>
          <w:szCs w:val="24"/>
        </w:rPr>
        <w:t>ában</w:t>
      </w:r>
      <w:proofErr w:type="spellEnd"/>
      <w:r w:rsidRPr="00113306">
        <w:rPr>
          <w:sz w:val="24"/>
          <w:szCs w:val="24"/>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w:t>
      </w:r>
      <w:proofErr w:type="spellStart"/>
      <w:r w:rsidRPr="00113306">
        <w:rPr>
          <w:sz w:val="24"/>
          <w:szCs w:val="24"/>
        </w:rPr>
        <w:t>bek</w:t>
      </w:r>
      <w:proofErr w:type="spellEnd"/>
      <w:r w:rsidRPr="00113306">
        <w:rPr>
          <w:sz w:val="24"/>
          <w:szCs w:val="24"/>
        </w:rPr>
        <w:t xml:space="preserve">.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 xml:space="preserve">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w:t>
      </w:r>
      <w:proofErr w:type="spellStart"/>
      <w:r w:rsidRPr="00113306">
        <w:rPr>
          <w:sz w:val="24"/>
          <w:szCs w:val="24"/>
        </w:rPr>
        <w:t>alapadatokat</w:t>
      </w:r>
      <w:proofErr w:type="spellEnd"/>
      <w:r w:rsidRPr="00113306">
        <w:rPr>
          <w:sz w:val="24"/>
          <w:szCs w:val="24"/>
        </w:rPr>
        <w: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736F20C7"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7E34514C" w:rsidR="002B55A3" w:rsidRPr="00113306" w:rsidRDefault="00CA0811"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Az M/1.</w:t>
            </w:r>
            <w:r>
              <w:rPr>
                <w:sz w:val="24"/>
                <w:szCs w:val="24"/>
                <w:lang w:eastAsia="ar-SA"/>
              </w:rPr>
              <w:t>1.</w:t>
            </w:r>
            <w:r w:rsidRPr="00113306">
              <w:rPr>
                <w:sz w:val="24"/>
                <w:szCs w:val="24"/>
                <w:lang w:eastAsia="ar-SA"/>
              </w:rPr>
              <w:t xml:space="preserve"> alkalmassági követelményre bemutatott, az MV-É </w:t>
            </w:r>
            <w:r w:rsidRPr="00D72A2B">
              <w:rPr>
                <w:sz w:val="24"/>
                <w:szCs w:val="24"/>
                <w:lang w:eastAsia="ar-SA"/>
              </w:rPr>
              <w:t>(</w:t>
            </w:r>
            <w:r w:rsidRPr="00D72A2B">
              <w:rPr>
                <w:sz w:val="24"/>
                <w:szCs w:val="24"/>
                <w:shd w:val="clear" w:color="auto" w:fill="FFFFFF"/>
              </w:rPr>
              <w:t>épít</w:t>
            </w:r>
            <w:r>
              <w:rPr>
                <w:sz w:val="24"/>
                <w:szCs w:val="24"/>
                <w:shd w:val="clear" w:color="auto" w:fill="FFFFFF"/>
              </w:rPr>
              <w:t>ési</w:t>
            </w:r>
            <w:r w:rsidRPr="00A85D74">
              <w:rPr>
                <w:sz w:val="24"/>
                <w:szCs w:val="24"/>
                <w:lang w:eastAsia="ar-SA"/>
              </w:rPr>
              <w:t xml:space="preserve"> </w:t>
            </w:r>
            <w:r w:rsidRPr="00113306">
              <w:rPr>
                <w:sz w:val="24"/>
                <w:szCs w:val="24"/>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5D92B3BC" w:rsidR="002B55A3" w:rsidRPr="00113306" w:rsidRDefault="00031438" w:rsidP="002B55A3">
            <w:pPr>
              <w:snapToGrid w:val="0"/>
              <w:spacing w:line="276" w:lineRule="auto"/>
              <w:jc w:val="center"/>
              <w:rPr>
                <w:sz w:val="24"/>
                <w:szCs w:val="24"/>
              </w:rPr>
            </w:pPr>
            <w:r w:rsidRPr="00113306">
              <w:rPr>
                <w:sz w:val="24"/>
                <w:szCs w:val="24"/>
              </w:rPr>
              <w:t>1</w:t>
            </w:r>
            <w:r w:rsidR="003618CC">
              <w:rPr>
                <w:sz w:val="24"/>
                <w:szCs w:val="24"/>
              </w:rPr>
              <w:t>5</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4B655507" w:rsidR="003F607B" w:rsidRPr="00113306" w:rsidRDefault="003F607B" w:rsidP="0066117D">
            <w:pPr>
              <w:spacing w:line="276" w:lineRule="auto"/>
              <w:contextualSpacing/>
              <w:jc w:val="both"/>
              <w:rPr>
                <w:sz w:val="24"/>
                <w:szCs w:val="24"/>
                <w:lang w:eastAsia="ar-SA"/>
              </w:rPr>
            </w:pPr>
            <w:r w:rsidRPr="00113306">
              <w:rPr>
                <w:sz w:val="24"/>
                <w:szCs w:val="24"/>
                <w:lang w:eastAsia="ar-SA"/>
              </w:rPr>
              <w:lastRenderedPageBreak/>
              <w:t xml:space="preserve">3.   </w:t>
            </w:r>
            <w:r w:rsidR="00CA0811" w:rsidRPr="00113306">
              <w:rPr>
                <w:sz w:val="24"/>
                <w:szCs w:val="24"/>
                <w:lang w:eastAsia="ar-SA"/>
              </w:rPr>
              <w:t>Az M/1.</w:t>
            </w:r>
            <w:r w:rsidR="00CA0811">
              <w:rPr>
                <w:sz w:val="24"/>
                <w:szCs w:val="24"/>
                <w:lang w:eastAsia="ar-SA"/>
              </w:rPr>
              <w:t>2.</w:t>
            </w:r>
            <w:r w:rsidR="00CA0811" w:rsidRPr="00113306">
              <w:rPr>
                <w:sz w:val="24"/>
                <w:szCs w:val="24"/>
                <w:lang w:eastAsia="ar-SA"/>
              </w:rPr>
              <w:t xml:space="preserve"> alkalmassági követelményre bemutatott, az MV-</w:t>
            </w:r>
            <w:r w:rsidR="00CA0811">
              <w:rPr>
                <w:sz w:val="24"/>
                <w:szCs w:val="24"/>
                <w:lang w:eastAsia="ar-SA"/>
              </w:rPr>
              <w:t>K</w:t>
            </w:r>
            <w:r w:rsidR="00CA0811" w:rsidRPr="00113306">
              <w:rPr>
                <w:sz w:val="24"/>
                <w:szCs w:val="24"/>
                <w:lang w:eastAsia="ar-SA"/>
              </w:rPr>
              <w:t xml:space="preserve">É </w:t>
            </w:r>
            <w:r w:rsidR="00CA0811" w:rsidRPr="00D72A2B">
              <w:rPr>
                <w:sz w:val="24"/>
                <w:szCs w:val="24"/>
                <w:lang w:eastAsia="ar-SA"/>
              </w:rPr>
              <w:t>(</w:t>
            </w:r>
            <w:r w:rsidR="00CA0811">
              <w:rPr>
                <w:sz w:val="24"/>
                <w:szCs w:val="24"/>
                <w:shd w:val="clear" w:color="auto" w:fill="FFFFFF"/>
              </w:rPr>
              <w:t>közlekedési építmények</w:t>
            </w:r>
            <w:r w:rsidR="00CA0811" w:rsidRPr="00A85D74">
              <w:rPr>
                <w:sz w:val="24"/>
                <w:szCs w:val="24"/>
                <w:lang w:eastAsia="ar-SA"/>
              </w:rPr>
              <w:t xml:space="preserve"> </w:t>
            </w:r>
            <w:r w:rsidR="00CA0811" w:rsidRPr="00113306">
              <w:rPr>
                <w:sz w:val="24"/>
                <w:szCs w:val="24"/>
                <w:lang w:eastAsia="ar-SA"/>
              </w:rPr>
              <w:t xml:space="preserve">szakterület) jogosultsággal, vagy azzal egyenértékű jogosultsággal, vagy a jogosultság megszerzéséhez szükséges végzettséggel/képzettséggel vagy ezzel egyenértékű végzettséggel/képzettséggel és szakmai gyakorlattal rendelkező szakember </w:t>
            </w:r>
            <w:r w:rsidR="00CA0811">
              <w:rPr>
                <w:sz w:val="24"/>
                <w:szCs w:val="24"/>
                <w:lang w:eastAsia="ar-SA"/>
              </w:rPr>
              <w:t xml:space="preserve">közlekedési építmények </w:t>
            </w:r>
            <w:r w:rsidR="00CA0811" w:rsidRPr="00113306">
              <w:rPr>
                <w:sz w:val="24"/>
                <w:szCs w:val="24"/>
                <w:lang w:eastAsia="ar-SA"/>
              </w:rPr>
              <w:t>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5A965C90" w:rsidR="003F607B" w:rsidRPr="00113306" w:rsidRDefault="003618CC" w:rsidP="00E93BBB">
            <w:pPr>
              <w:snapToGrid w:val="0"/>
              <w:spacing w:line="276" w:lineRule="auto"/>
              <w:jc w:val="center"/>
              <w:rPr>
                <w:sz w:val="24"/>
                <w:szCs w:val="24"/>
              </w:rPr>
            </w:pPr>
            <w:r>
              <w:rPr>
                <w:sz w:val="24"/>
                <w:szCs w:val="24"/>
              </w:rPr>
              <w:t>15</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71CF7008"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3C879CA3" w14:textId="3646CFED" w:rsidR="00CA0811" w:rsidRPr="00113306" w:rsidRDefault="0014004D" w:rsidP="00CA0811">
      <w:pPr>
        <w:jc w:val="both"/>
        <w:outlineLvl w:val="0"/>
        <w:rPr>
          <w:sz w:val="24"/>
          <w:szCs w:val="24"/>
          <w:lang w:eastAsia="ar-SA"/>
        </w:rPr>
      </w:pPr>
      <w:r w:rsidRPr="00113306">
        <w:rPr>
          <w:b/>
          <w:sz w:val="24"/>
          <w:szCs w:val="24"/>
          <w:lang w:eastAsia="ar-SA"/>
        </w:rPr>
        <w:t xml:space="preserve">2. </w:t>
      </w:r>
      <w:r w:rsidR="00CA0811" w:rsidRPr="00113306">
        <w:rPr>
          <w:sz w:val="24"/>
          <w:szCs w:val="24"/>
          <w:lang w:eastAsia="ar-SA"/>
        </w:rPr>
        <w:t>Az M/1.</w:t>
      </w:r>
      <w:r w:rsidR="00CA0811">
        <w:rPr>
          <w:sz w:val="24"/>
          <w:szCs w:val="24"/>
          <w:lang w:eastAsia="ar-SA"/>
        </w:rPr>
        <w:t>1.</w:t>
      </w:r>
      <w:r w:rsidR="00CA0811" w:rsidRPr="00113306">
        <w:rPr>
          <w:sz w:val="24"/>
          <w:szCs w:val="24"/>
          <w:lang w:eastAsia="ar-SA"/>
        </w:rPr>
        <w:t xml:space="preserve"> alkalmassági körben megjelölt MV-É (</w:t>
      </w:r>
      <w:r w:rsidR="00CA0811" w:rsidRPr="00F11956">
        <w:rPr>
          <w:sz w:val="24"/>
          <w:szCs w:val="24"/>
          <w:shd w:val="clear" w:color="auto" w:fill="FFFFFF"/>
        </w:rPr>
        <w:t>épít</w:t>
      </w:r>
      <w:r w:rsidR="00CA0811">
        <w:rPr>
          <w:sz w:val="24"/>
          <w:szCs w:val="24"/>
          <w:shd w:val="clear" w:color="auto" w:fill="FFFFFF"/>
        </w:rPr>
        <w:t>ési</w:t>
      </w:r>
      <w:r w:rsidR="00CA0811" w:rsidRPr="00F11956">
        <w:rPr>
          <w:rFonts w:ascii="Helvetica" w:hAnsi="Helvetica" w:cs="Helvetica"/>
          <w:sz w:val="21"/>
          <w:szCs w:val="21"/>
          <w:shd w:val="clear" w:color="auto" w:fill="FFFFFF"/>
        </w:rPr>
        <w:t xml:space="preserve"> </w:t>
      </w:r>
      <w:r w:rsidR="00CA0811" w:rsidRPr="00113306">
        <w:rPr>
          <w:sz w:val="24"/>
          <w:szCs w:val="24"/>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annál kedvezőbb megajánlás esetében is, amelyre 100 pontot ad (36 hónap és azt meghaladó hónapszám esetében is).</w:t>
      </w:r>
      <w:r w:rsidR="00CA0811" w:rsidRPr="00113306">
        <w:rPr>
          <w:sz w:val="24"/>
          <w:szCs w:val="24"/>
        </w:rPr>
        <w:t xml:space="preserve"> </w:t>
      </w:r>
      <w:r w:rsidR="00CA0811" w:rsidRPr="00113306">
        <w:rPr>
          <w:sz w:val="24"/>
          <w:szCs w:val="24"/>
          <w:lang w:eastAsia="ar-SA"/>
        </w:rPr>
        <w:t xml:space="preserve">0 hónap megajánlása esetén 0 pontot kap az ajánlattevő. Az ajánlatban kizárólag egész szám megajánlása lehetséges, tört szám megadása esetén az ajánlat érvénytelen. </w:t>
      </w:r>
    </w:p>
    <w:p w14:paraId="3990EC29" w14:textId="77777777" w:rsidR="00CA0811" w:rsidRPr="00113306" w:rsidRDefault="00CA0811" w:rsidP="00CA0811">
      <w:pPr>
        <w:jc w:val="both"/>
        <w:rPr>
          <w:sz w:val="24"/>
          <w:szCs w:val="24"/>
          <w:lang w:eastAsia="ar-SA"/>
        </w:rPr>
      </w:pPr>
    </w:p>
    <w:p w14:paraId="07C0BDA9" w14:textId="77777777" w:rsidR="00CA0811" w:rsidRPr="00113306" w:rsidRDefault="00CA0811" w:rsidP="00CA0811">
      <w:pPr>
        <w:jc w:val="both"/>
        <w:rPr>
          <w:sz w:val="24"/>
          <w:szCs w:val="24"/>
          <w:lang w:eastAsia="ar-SA"/>
        </w:rPr>
      </w:pPr>
      <w:r w:rsidRPr="00113306">
        <w:rPr>
          <w:sz w:val="24"/>
          <w:szCs w:val="24"/>
          <w:lang w:eastAsia="ar-SA"/>
        </w:rPr>
        <w:lastRenderedPageBreak/>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0838AAEE" w14:textId="77777777" w:rsidR="00CA0811" w:rsidRPr="00113306" w:rsidRDefault="00CA0811" w:rsidP="00CA0811">
      <w:pPr>
        <w:jc w:val="both"/>
        <w:rPr>
          <w:sz w:val="24"/>
          <w:szCs w:val="24"/>
          <w:lang w:eastAsia="ar-SA"/>
        </w:rPr>
      </w:pPr>
    </w:p>
    <w:p w14:paraId="01021839" w14:textId="77777777" w:rsidR="00CA0811" w:rsidRPr="00113306" w:rsidRDefault="00CA0811" w:rsidP="00CA0811">
      <w:pPr>
        <w:jc w:val="both"/>
        <w:rPr>
          <w:sz w:val="24"/>
          <w:szCs w:val="24"/>
          <w:lang w:eastAsia="ar-SA"/>
        </w:rPr>
      </w:pPr>
      <w:r w:rsidRPr="00113306">
        <w:rPr>
          <w:sz w:val="24"/>
          <w:szCs w:val="24"/>
          <w:lang w:eastAsia="ar-SA"/>
        </w:rPr>
        <w:t>Az értékelés képlete (egyenes arányosítás):</w:t>
      </w:r>
    </w:p>
    <w:p w14:paraId="4867F92E" w14:textId="77777777" w:rsidR="00CA0811" w:rsidRPr="00113306" w:rsidRDefault="00CA0811" w:rsidP="00CA0811">
      <w:pPr>
        <w:jc w:val="both"/>
        <w:rPr>
          <w:sz w:val="24"/>
          <w:szCs w:val="24"/>
          <w:lang w:eastAsia="ar-SA"/>
        </w:rPr>
      </w:pPr>
    </w:p>
    <w:p w14:paraId="57CF3593" w14:textId="77777777" w:rsidR="00CA0811" w:rsidRPr="00113306" w:rsidRDefault="00CA0811" w:rsidP="00CA0811">
      <w:pPr>
        <w:jc w:val="both"/>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434721DE" w14:textId="77777777" w:rsidR="00CA0811" w:rsidRPr="00113306" w:rsidRDefault="00CA0811" w:rsidP="00CA0811">
      <w:pPr>
        <w:jc w:val="both"/>
        <w:rPr>
          <w:sz w:val="24"/>
          <w:szCs w:val="24"/>
          <w:lang w:eastAsia="ar-SA"/>
        </w:rPr>
      </w:pPr>
    </w:p>
    <w:p w14:paraId="1AEB16D8" w14:textId="77777777" w:rsidR="00CA0811" w:rsidRPr="00113306" w:rsidRDefault="00CA0811" w:rsidP="00CA0811">
      <w:pPr>
        <w:jc w:val="both"/>
        <w:rPr>
          <w:sz w:val="24"/>
          <w:szCs w:val="24"/>
          <w:lang w:eastAsia="ar-SA"/>
        </w:rPr>
      </w:pPr>
      <w:r w:rsidRPr="00113306">
        <w:rPr>
          <w:sz w:val="24"/>
          <w:szCs w:val="24"/>
          <w:lang w:eastAsia="ar-SA"/>
        </w:rPr>
        <w:t>P: a vizsgált ajánlati elem adott szempontra vonatkozó pontszáma</w:t>
      </w:r>
    </w:p>
    <w:p w14:paraId="47D8241A" w14:textId="77777777" w:rsidR="00CA0811" w:rsidRPr="00113306" w:rsidRDefault="00CA0811" w:rsidP="00CA081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49EDC5CC" w14:textId="77777777" w:rsidR="00CA0811" w:rsidRPr="00113306" w:rsidRDefault="00CA0811" w:rsidP="00CA081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41CA0078" w14:textId="77777777" w:rsidR="00CA0811" w:rsidRPr="00113306" w:rsidRDefault="00CA0811" w:rsidP="00CA0811">
      <w:pPr>
        <w:jc w:val="both"/>
        <w:rPr>
          <w:sz w:val="24"/>
          <w:szCs w:val="24"/>
          <w:lang w:eastAsia="ar-SA"/>
        </w:rPr>
      </w:pPr>
      <w:r w:rsidRPr="00113306">
        <w:rPr>
          <w:sz w:val="24"/>
          <w:szCs w:val="24"/>
          <w:lang w:eastAsia="ar-SA"/>
        </w:rPr>
        <w:t>A legjobb: a legelőnyösebb ajánlat tartalmi eleme (legmagasabb érték, de maximum 36 hónap)</w:t>
      </w:r>
    </w:p>
    <w:p w14:paraId="7D80E1DE" w14:textId="77777777" w:rsidR="00CA0811" w:rsidRPr="00113306" w:rsidRDefault="00CA0811" w:rsidP="00CA0811">
      <w:pPr>
        <w:jc w:val="both"/>
        <w:rPr>
          <w:sz w:val="24"/>
          <w:szCs w:val="24"/>
          <w:lang w:eastAsia="ar-SA"/>
        </w:rPr>
      </w:pPr>
      <w:r w:rsidRPr="00113306">
        <w:rPr>
          <w:sz w:val="24"/>
          <w:szCs w:val="24"/>
          <w:lang w:eastAsia="ar-SA"/>
        </w:rPr>
        <w:t>A vizsgált: a vizsgált ajánlat tartalmi eleme</w:t>
      </w:r>
    </w:p>
    <w:p w14:paraId="5465FF87" w14:textId="77777777" w:rsidR="00CA0811" w:rsidRPr="00113306" w:rsidRDefault="00CA0811" w:rsidP="00CA0811">
      <w:pPr>
        <w:rPr>
          <w:sz w:val="24"/>
          <w:szCs w:val="24"/>
          <w:lang w:eastAsia="ar-SA"/>
        </w:rPr>
      </w:pPr>
    </w:p>
    <w:p w14:paraId="6808BDE0" w14:textId="77777777" w:rsidR="00CA0811" w:rsidRPr="00113306" w:rsidRDefault="00CA0811" w:rsidP="00CA081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3269206E" w14:textId="77777777" w:rsidR="00CA0811" w:rsidRPr="00113306" w:rsidRDefault="00CA0811" w:rsidP="00CA081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Pr="00113306">
        <w:rPr>
          <w:b/>
          <w:bCs/>
          <w:sz w:val="24"/>
          <w:szCs w:val="24"/>
          <w:u w:val="single"/>
          <w:lang w:eastAsia="ar-SA"/>
        </w:rPr>
        <w:t xml:space="preserve"> </w:t>
      </w:r>
      <w:r w:rsidRPr="00113306">
        <w:rPr>
          <w:b/>
          <w:bCs/>
          <w:i/>
          <w:iCs/>
          <w:sz w:val="24"/>
          <w:szCs w:val="24"/>
          <w:u w:val="single"/>
          <w:lang w:eastAsia="ar-SA"/>
        </w:rPr>
        <w:t>annak hiánypótlására nincs lehetőség</w:t>
      </w:r>
      <w:r w:rsidRPr="00113306">
        <w:rPr>
          <w:b/>
          <w:bCs/>
          <w:i/>
          <w:iCs/>
          <w:sz w:val="24"/>
          <w:szCs w:val="24"/>
          <w:lang w:eastAsia="ar-SA"/>
        </w:rPr>
        <w:t>!</w:t>
      </w:r>
    </w:p>
    <w:p w14:paraId="060DDE93" w14:textId="77777777" w:rsidR="00CA0811" w:rsidRPr="00113306" w:rsidRDefault="00CA0811" w:rsidP="00CA0811">
      <w:pPr>
        <w:jc w:val="both"/>
        <w:outlineLvl w:val="0"/>
        <w:rPr>
          <w:sz w:val="24"/>
          <w:szCs w:val="24"/>
          <w:lang w:eastAsia="ar-SA"/>
        </w:rPr>
      </w:pPr>
    </w:p>
    <w:p w14:paraId="5D20733C" w14:textId="77777777" w:rsidR="00CA0811" w:rsidRPr="00113306" w:rsidRDefault="00CA0811" w:rsidP="00CA0811">
      <w:pPr>
        <w:jc w:val="both"/>
        <w:outlineLvl w:val="0"/>
        <w:rPr>
          <w:b/>
          <w:bCs/>
          <w:sz w:val="24"/>
          <w:szCs w:val="24"/>
          <w:u w:val="single"/>
          <w:lang w:eastAsia="ar-SA"/>
        </w:rPr>
      </w:pPr>
      <w:r w:rsidRPr="00113306">
        <w:rPr>
          <w:b/>
          <w:bCs/>
          <w:sz w:val="24"/>
          <w:szCs w:val="24"/>
          <w:u w:val="single"/>
          <w:lang w:eastAsia="ar-SA"/>
        </w:rPr>
        <w:t>Felhívjuk továbbá a figyelmet a Kbt. 71. § (9) bekezdés a) pontjában foglaltakra</w:t>
      </w:r>
    </w:p>
    <w:p w14:paraId="40F1A9BA" w14:textId="77777777" w:rsidR="00CA0811" w:rsidRPr="00113306" w:rsidRDefault="00CA0811" w:rsidP="00CA081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120911C0" w14:textId="77777777" w:rsidR="00CA0811" w:rsidRPr="00113306" w:rsidRDefault="00CA0811" w:rsidP="00CA0811">
      <w:pPr>
        <w:jc w:val="both"/>
        <w:outlineLvl w:val="0"/>
        <w:rPr>
          <w:sz w:val="24"/>
          <w:szCs w:val="24"/>
          <w:lang w:eastAsia="ar-SA"/>
        </w:rPr>
      </w:pPr>
    </w:p>
    <w:p w14:paraId="00FAA9AD" w14:textId="77777777" w:rsidR="00CA0811" w:rsidRPr="00113306" w:rsidRDefault="00CA0811" w:rsidP="00CA081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2B4C0ACB" w14:textId="77777777" w:rsidR="00CA0811" w:rsidRPr="00113306" w:rsidRDefault="00CA0811" w:rsidP="00CA0811">
      <w:pPr>
        <w:jc w:val="both"/>
        <w:outlineLvl w:val="0"/>
        <w:rPr>
          <w:sz w:val="24"/>
          <w:szCs w:val="24"/>
          <w:lang w:eastAsia="ar-SA"/>
        </w:rPr>
      </w:pPr>
    </w:p>
    <w:p w14:paraId="1F46E963" w14:textId="77777777" w:rsidR="00CA0811" w:rsidRPr="00113306" w:rsidRDefault="00CA0811" w:rsidP="00CA0811">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7E743F8F" w14:textId="77777777" w:rsidR="00CA0811" w:rsidRPr="00113306" w:rsidRDefault="00CA0811" w:rsidP="00CA0811">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CB7492C" w14:textId="77777777" w:rsidR="00CA0811" w:rsidRPr="00113306" w:rsidRDefault="00CA0811" w:rsidP="00CA0811">
      <w:pPr>
        <w:jc w:val="both"/>
        <w:outlineLvl w:val="0"/>
        <w:rPr>
          <w:sz w:val="24"/>
          <w:szCs w:val="24"/>
          <w:lang w:eastAsia="ar-SA"/>
        </w:rPr>
      </w:pPr>
    </w:p>
    <w:p w14:paraId="2E7EF4BA" w14:textId="77777777" w:rsidR="00CA0811" w:rsidRPr="00113306" w:rsidRDefault="00CA0811" w:rsidP="00CA081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0AB1144D" w14:textId="577F51F2" w:rsidR="00682131" w:rsidRPr="00113306" w:rsidRDefault="00682131" w:rsidP="00CA0811">
      <w:pPr>
        <w:pStyle w:val="Listaszerbekezds"/>
        <w:ind w:left="0"/>
        <w:jc w:val="both"/>
        <w:outlineLvl w:val="0"/>
        <w:rPr>
          <w:sz w:val="24"/>
          <w:szCs w:val="24"/>
          <w:lang w:eastAsia="ar-SA"/>
        </w:rPr>
      </w:pPr>
    </w:p>
    <w:p w14:paraId="46647456" w14:textId="4D0427E4"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w:t>
      </w:r>
      <w:r w:rsidR="00CA0811">
        <w:rPr>
          <w:sz w:val="24"/>
          <w:szCs w:val="24"/>
          <w:lang w:eastAsia="ar-SA"/>
        </w:rPr>
        <w:t>2.</w:t>
      </w:r>
      <w:r w:rsidR="00682131" w:rsidRPr="00113306">
        <w:rPr>
          <w:sz w:val="24"/>
          <w:szCs w:val="24"/>
          <w:lang w:eastAsia="ar-SA"/>
        </w:rPr>
        <w:t xml:space="preserve"> alkalmassági körben megjelölt MV-</w:t>
      </w:r>
      <w:r w:rsidR="00CA0811">
        <w:rPr>
          <w:sz w:val="24"/>
          <w:szCs w:val="24"/>
          <w:lang w:eastAsia="ar-SA"/>
        </w:rPr>
        <w:t>K</w:t>
      </w:r>
      <w:r w:rsidR="00682131" w:rsidRPr="00113306">
        <w:rPr>
          <w:sz w:val="24"/>
          <w:szCs w:val="24"/>
          <w:lang w:eastAsia="ar-SA"/>
        </w:rPr>
        <w:t>É (</w:t>
      </w:r>
      <w:r w:rsidR="00CA0811">
        <w:rPr>
          <w:sz w:val="24"/>
          <w:szCs w:val="24"/>
          <w:shd w:val="clear" w:color="auto" w:fill="FFFFFF"/>
        </w:rPr>
        <w:t>közlekedési építmények</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w:t>
      </w:r>
      <w:r w:rsidR="00682131" w:rsidRPr="00113306">
        <w:rPr>
          <w:sz w:val="24"/>
          <w:szCs w:val="24"/>
          <w:lang w:eastAsia="ar-SA"/>
        </w:rPr>
        <w:lastRenderedPageBreak/>
        <w:t xml:space="preserve">szakmai gyakorlattal rendelkező szakember </w:t>
      </w:r>
      <w:r w:rsidR="00CA0811">
        <w:rPr>
          <w:sz w:val="24"/>
          <w:szCs w:val="24"/>
          <w:lang w:eastAsia="ar-SA"/>
        </w:rPr>
        <w:t>közlekedési építmények s</w:t>
      </w:r>
      <w:r w:rsidR="00682131" w:rsidRPr="00113306">
        <w:rPr>
          <w:sz w:val="24"/>
          <w:szCs w:val="24"/>
          <w:lang w:eastAsia="ar-SA"/>
        </w:rPr>
        <w:t xml:space="preserve">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5633FDB1" w14:textId="77777777" w:rsidR="00E65D75" w:rsidRPr="00113306" w:rsidRDefault="00E65D75" w:rsidP="00B56E8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lastRenderedPageBreak/>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 xml:space="preserve">PDF formátumú fájl – olvasás ADOBE </w:t>
      </w:r>
      <w:proofErr w:type="spellStart"/>
      <w:r w:rsidRPr="00113306">
        <w:rPr>
          <w:sz w:val="24"/>
          <w:szCs w:val="24"/>
          <w:lang w:eastAsia="en-GB"/>
        </w:rPr>
        <w:t>Reader</w:t>
      </w:r>
      <w:proofErr w:type="spellEnd"/>
      <w:r w:rsidRPr="00113306">
        <w:rPr>
          <w:sz w:val="24"/>
          <w:szCs w:val="24"/>
          <w:lang w:eastAsia="en-GB"/>
        </w:rPr>
        <w:t xml:space="preserve">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w:t>
      </w:r>
      <w:proofErr w:type="spellStart"/>
      <w:r w:rsidRPr="00113306">
        <w:rPr>
          <w:rFonts w:ascii="Times New Roman" w:hAnsi="Times New Roman" w:cs="Times New Roman"/>
        </w:rPr>
        <w:t>eredménytelenségéről</w:t>
      </w:r>
      <w:proofErr w:type="spellEnd"/>
      <w:r w:rsidRPr="00113306">
        <w:rPr>
          <w:rFonts w:ascii="Times New Roman" w:hAnsi="Times New Roman" w:cs="Times New Roman"/>
        </w:rPr>
        <w:t>,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 xml:space="preserve">3. Az ajánlatkérő az ajánlatok elbírálásáról készített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w:t>
      </w:r>
      <w:r w:rsidRPr="00113306">
        <w:rPr>
          <w:rFonts w:ascii="Times New Roman" w:hAnsi="Times New Roman" w:cs="Times New Roman"/>
        </w:rPr>
        <w:lastRenderedPageBreak/>
        <w:t xml:space="preserve">állítható helyre, a szerződést azonnali hatállyal felmondani, ha az eredmény megküldését követően észleli, hogy az eredmény (eredménytelenség) törvénysértő volt és a módosítás a törvénysértést orvosolja. Az ajánlatkérő a módosított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 xml:space="preserve">4. Az írásbeli </w:t>
      </w:r>
      <w:proofErr w:type="spellStart"/>
      <w:r w:rsidRPr="00113306">
        <w:rPr>
          <w:rFonts w:ascii="Times New Roman" w:hAnsi="Times New Roman" w:cs="Times New Roman"/>
        </w:rPr>
        <w:t>összegezésben</w:t>
      </w:r>
      <w:proofErr w:type="spellEnd"/>
      <w:r w:rsidRPr="00113306">
        <w:rPr>
          <w:rFonts w:ascii="Times New Roman" w:hAnsi="Times New Roman" w:cs="Times New Roman"/>
        </w:rPr>
        <w:t xml:space="preserve"> észlelt bármely elírást (névcserét, hibás névírást, szám- vagy számítási hibát vagy más hasonló elírást) az ajánlatkérő kérelemre vagy kérelem hiányában is kijavíthatja. A kijavított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w:t>
      </w:r>
      <w:proofErr w:type="spellStart"/>
      <w:r w:rsidR="00C47B55" w:rsidRPr="00113306">
        <w:rPr>
          <w:color w:val="auto"/>
        </w:rPr>
        <w:t>excel</w:t>
      </w:r>
      <w:proofErr w:type="spellEnd"/>
      <w:r w:rsidR="00C47B55" w:rsidRPr="00113306">
        <w:rPr>
          <w:color w:val="auto"/>
        </w:rPr>
        <w:t>, szerkeszthető formátumban is)</w:t>
      </w:r>
      <w:r w:rsidRPr="00113306">
        <w:rPr>
          <w:color w:val="auto"/>
        </w:rPr>
        <w:t>.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 xml:space="preserve">Tekintettel arra, hogy a megkötendő vállalkozási szerződés egyösszegű </w:t>
      </w:r>
      <w:proofErr w:type="spellStart"/>
      <w:r w:rsidRPr="00113306">
        <w:rPr>
          <w:color w:val="auto"/>
        </w:rPr>
        <w:t>átalányáras</w:t>
      </w:r>
      <w:proofErr w:type="spellEnd"/>
      <w:r w:rsidRPr="00113306">
        <w:rPr>
          <w:color w:val="auto"/>
        </w:rPr>
        <w:t xml:space="preserve">, a vállalkozói díj meghatározása az ajánlattevők kockázata, az esetleges előre nem látható költségeket, műszaki észrevételeket, stb. az árazatlan költségvetésekben </w:t>
      </w:r>
      <w:r w:rsidRPr="00113306">
        <w:rPr>
          <w:color w:val="auto"/>
        </w:rPr>
        <w:lastRenderedPageBreak/>
        <w:t>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00BD43FB" w:rsidRPr="00113306">
        <w:rPr>
          <w:color w:val="auto"/>
        </w:rPr>
        <w:t>ában</w:t>
      </w:r>
      <w:proofErr w:type="spellEnd"/>
      <w:r w:rsidR="00BD43FB" w:rsidRPr="00113306">
        <w:rPr>
          <w:color w:val="auto"/>
        </w:rPr>
        <w:t xml:space="preserve">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w:t>
      </w:r>
      <w:proofErr w:type="spellStart"/>
      <w:r w:rsidRPr="00113306">
        <w:rPr>
          <w:color w:val="auto"/>
        </w:rPr>
        <w:t>ek</w:t>
      </w:r>
      <w:proofErr w:type="spellEnd"/>
      <w:r w:rsidRPr="00113306">
        <w:rPr>
          <w:color w:val="auto"/>
        </w:rPr>
        <w:t>)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w:t>
      </w:r>
      <w:proofErr w:type="spellStart"/>
      <w:r w:rsidRPr="00113306">
        <w:rPr>
          <w:color w:val="auto"/>
        </w:rPr>
        <w:t>erejű</w:t>
      </w:r>
      <w:proofErr w:type="spellEnd"/>
      <w:r w:rsidRPr="00113306">
        <w:rPr>
          <w:color w:val="auto"/>
        </w:rPr>
        <w:t xml:space="preserve">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w:t>
      </w:r>
      <w:proofErr w:type="spellStart"/>
      <w:r w:rsidR="00CC19B7" w:rsidRPr="00113306">
        <w:rPr>
          <w:color w:val="auto"/>
        </w:rPr>
        <w:t>erejű</w:t>
      </w:r>
      <w:proofErr w:type="spellEnd"/>
      <w:r w:rsidR="00CC19B7" w:rsidRPr="00113306">
        <w:rPr>
          <w:color w:val="auto"/>
        </w:rPr>
        <w:t xml:space="preserve">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Elektronikus nyilvántartások: amennyiben az ajánlattevő, alvállalkozó vagy az alkalmasság igazolásában résztvevő gazdasági szereplő valamely a felhívásban vagy a dokumentációban </w:t>
      </w:r>
      <w:r w:rsidRPr="00113306">
        <w:rPr>
          <w:color w:val="auto"/>
        </w:rPr>
        <w:lastRenderedPageBreak/>
        <w:t>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w:t>
      </w:r>
      <w:proofErr w:type="spellStart"/>
      <w:r w:rsidRPr="00113306">
        <w:rPr>
          <w:color w:val="auto"/>
        </w:rPr>
        <w:t>ában</w:t>
      </w:r>
      <w:proofErr w:type="spellEnd"/>
      <w:r w:rsidRPr="00113306">
        <w:rPr>
          <w:color w:val="auto"/>
        </w:rPr>
        <w:t xml:space="preserve">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proofErr w:type="spellStart"/>
      <w:r w:rsidR="00FD4226" w:rsidRPr="00113306">
        <w:rPr>
          <w:spacing w:val="1"/>
          <w:sz w:val="24"/>
          <w:szCs w:val="24"/>
        </w:rPr>
        <w:t>ának</w:t>
      </w:r>
      <w:proofErr w:type="spellEnd"/>
      <w:r w:rsidR="00FD4226" w:rsidRPr="00113306">
        <w:rPr>
          <w:spacing w:val="1"/>
          <w:sz w:val="24"/>
          <w:szCs w:val="24"/>
        </w:rPr>
        <w:t xml:space="preserve">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6"/>
      <w:footerReference w:type="default" r:id="rId17"/>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2EA81" w14:textId="77777777" w:rsidR="00D47863" w:rsidRDefault="00D47863">
      <w:r>
        <w:separator/>
      </w:r>
    </w:p>
  </w:endnote>
  <w:endnote w:type="continuationSeparator" w:id="0">
    <w:p w14:paraId="379487CB" w14:textId="77777777" w:rsidR="00D47863" w:rsidRDefault="00D47863">
      <w:r>
        <w:continuationSeparator/>
      </w:r>
    </w:p>
  </w:endnote>
  <w:endnote w:type="continuationNotice" w:id="1">
    <w:p w14:paraId="6A487D53" w14:textId="77777777" w:rsidR="00D47863" w:rsidRDefault="00D47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D47863"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B435E" w14:textId="77777777" w:rsidR="00D47863" w:rsidRDefault="00D47863">
      <w:r>
        <w:separator/>
      </w:r>
    </w:p>
  </w:footnote>
  <w:footnote w:type="continuationSeparator" w:id="0">
    <w:p w14:paraId="548D0982" w14:textId="77777777" w:rsidR="00D47863" w:rsidRDefault="00D47863">
      <w:r>
        <w:continuationSeparator/>
      </w:r>
    </w:p>
  </w:footnote>
  <w:footnote w:type="continuationNotice" w:id="1">
    <w:p w14:paraId="7DD2B891" w14:textId="77777777" w:rsidR="00D47863" w:rsidRDefault="00D478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87"/>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8CC"/>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02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0EC4"/>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30BC"/>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3E8"/>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65DE"/>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0811"/>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6637"/>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47863"/>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03E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3C5"/>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styleId="Feloldatlanmegemlts">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foldmuvelesugyi-miniszteriu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pm.gov.hu" TargetMode="Externa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10" Type="http://schemas.openxmlformats.org/officeDocument/2006/relationships/hyperlink" Target="mailto:levayk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ntralberkft21@gmail.com" TargetMode="External"/><Relationship Id="rId14" Type="http://schemas.openxmlformats.org/officeDocument/2006/relationships/hyperlink" Target="http://www.kormany.hu/hu/emberi-eroforrasok-miniszterium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20</Pages>
  <Words>5832</Words>
  <Characters>40243</Characters>
  <Application>Microsoft Office Word</Application>
  <DocSecurity>0</DocSecurity>
  <Lines>335</Lines>
  <Paragraphs>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45984</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33</cp:revision>
  <cp:lastPrinted>2018-06-28T08:54:00Z</cp:lastPrinted>
  <dcterms:created xsi:type="dcterms:W3CDTF">2020-09-04T09:51:00Z</dcterms:created>
  <dcterms:modified xsi:type="dcterms:W3CDTF">2024-05-17T07:03:00Z</dcterms:modified>
</cp:coreProperties>
</file>