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21294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Ajánlattételi felhívás</w:t>
      </w:r>
    </w:p>
    <w:p w14:paraId="3F0F9427" w14:textId="77777777" w:rsidR="0037484E" w:rsidRPr="007A402F" w:rsidRDefault="0037484E" w:rsidP="0037484E">
      <w:pPr>
        <w:spacing w:before="120" w:after="120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i/>
          <w:iCs/>
          <w:sz w:val="22"/>
          <w:szCs w:val="22"/>
          <w:lang w:eastAsia="hu-HU"/>
        </w:rPr>
        <w:t>A Kbt. 115. § szerinti eljárások esetében.</w:t>
      </w:r>
    </w:p>
    <w:p w14:paraId="53B37495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I. szakasz: Ajánlatkérő</w:t>
      </w:r>
    </w:p>
    <w:p w14:paraId="268C5EDC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 xml:space="preserve">I.1) Név és címek </w:t>
      </w:r>
      <w:r w:rsidRPr="007A402F">
        <w:rPr>
          <w:rFonts w:eastAsia="Times New Roman"/>
          <w:sz w:val="22"/>
          <w:szCs w:val="22"/>
          <w:vertAlign w:val="superscript"/>
          <w:lang w:eastAsia="hu-HU"/>
        </w:rPr>
        <w:t>1</w:t>
      </w:r>
      <w:r w:rsidRPr="007A402F">
        <w:rPr>
          <w:rFonts w:eastAsia="Times New Roman"/>
          <w:sz w:val="22"/>
          <w:szCs w:val="22"/>
          <w:lang w:eastAsia="hu-HU"/>
        </w:rPr>
        <w:t xml:space="preserve"> </w:t>
      </w:r>
      <w:r w:rsidRPr="007A402F">
        <w:rPr>
          <w:rFonts w:eastAsia="Times New Roman"/>
          <w:i/>
          <w:iCs/>
          <w:sz w:val="22"/>
          <w:szCs w:val="22"/>
          <w:lang w:eastAsia="hu-HU"/>
        </w:rPr>
        <w:t>(jelölje meg az eljárásért felelős összes ajánlatkérőt)</w:t>
      </w:r>
    </w:p>
    <w:tbl>
      <w:tblPr>
        <w:tblW w:w="979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2230"/>
        <w:gridCol w:w="2165"/>
        <w:gridCol w:w="2485"/>
      </w:tblGrid>
      <w:tr w:rsidR="00DD6F55" w:rsidRPr="007A402F" w14:paraId="2591BBF3" w14:textId="77777777" w:rsidTr="00E26F8E">
        <w:tc>
          <w:tcPr>
            <w:tcW w:w="7310" w:type="dxa"/>
            <w:gridSpan w:val="3"/>
            <w:hideMark/>
          </w:tcPr>
          <w:p w14:paraId="4CA35C54" w14:textId="449881D5" w:rsidR="00DD6F55" w:rsidRPr="007A402F" w:rsidRDefault="00DD6F55" w:rsidP="00E26F8E">
            <w:pPr>
              <w:tabs>
                <w:tab w:val="left" w:pos="2552"/>
              </w:tabs>
              <w:spacing w:line="360" w:lineRule="auto"/>
              <w:rPr>
                <w:b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>Hivatalos név:</w:t>
            </w:r>
            <w:r w:rsidRPr="007A402F">
              <w:rPr>
                <w:b/>
                <w:sz w:val="22"/>
                <w:szCs w:val="22"/>
              </w:rPr>
              <w:t xml:space="preserve"> </w:t>
            </w:r>
            <w:r w:rsidR="008B3F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Tiszavasvári Város Önkormányzata</w:t>
            </w:r>
          </w:p>
        </w:tc>
        <w:tc>
          <w:tcPr>
            <w:tcW w:w="2485" w:type="dxa"/>
            <w:hideMark/>
          </w:tcPr>
          <w:p w14:paraId="3219DF21" w14:textId="77777777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 xml:space="preserve">Nemzeti azonosítószám: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DD6F55" w:rsidRPr="007A402F" w14:paraId="61DE38E1" w14:textId="77777777" w:rsidTr="00E26F8E">
        <w:tc>
          <w:tcPr>
            <w:tcW w:w="9795" w:type="dxa"/>
            <w:gridSpan w:val="4"/>
            <w:hideMark/>
          </w:tcPr>
          <w:p w14:paraId="62E40D47" w14:textId="46B2B270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 xml:space="preserve">Postai cím: </w:t>
            </w:r>
            <w:r w:rsidR="008B3F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Városház</w:t>
            </w:r>
            <w:r w:rsidR="0066053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</w:t>
            </w:r>
            <w:r w:rsidR="008B3F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tér 4.</w:t>
            </w:r>
          </w:p>
        </w:tc>
      </w:tr>
      <w:tr w:rsidR="00DD6F55" w:rsidRPr="007A402F" w14:paraId="2D8282B3" w14:textId="77777777" w:rsidTr="00E26F8E">
        <w:tc>
          <w:tcPr>
            <w:tcW w:w="2915" w:type="dxa"/>
            <w:hideMark/>
          </w:tcPr>
          <w:p w14:paraId="2538F2A5" w14:textId="23347B66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 xml:space="preserve">Város: </w:t>
            </w:r>
            <w:r w:rsidR="008B3F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Tiszavasvári</w:t>
            </w:r>
          </w:p>
        </w:tc>
        <w:tc>
          <w:tcPr>
            <w:tcW w:w="2230" w:type="dxa"/>
            <w:hideMark/>
          </w:tcPr>
          <w:p w14:paraId="14C174CB" w14:textId="77777777" w:rsidR="00DD6F55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proofErr w:type="spellStart"/>
            <w:r w:rsidRPr="007A402F">
              <w:rPr>
                <w:rFonts w:eastAsia="Times New Roman"/>
                <w:sz w:val="22"/>
                <w:szCs w:val="22"/>
              </w:rPr>
              <w:t>NUTS-kód</w:t>
            </w:r>
            <w:proofErr w:type="spellEnd"/>
            <w:r w:rsidRPr="007A402F">
              <w:rPr>
                <w:rFonts w:eastAsia="Times New Roman"/>
                <w:sz w:val="22"/>
                <w:szCs w:val="22"/>
              </w:rPr>
              <w:t>:</w:t>
            </w:r>
          </w:p>
          <w:p w14:paraId="5CAA42D9" w14:textId="77777777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4E4F75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HU</w:t>
            </w:r>
          </w:p>
        </w:tc>
        <w:tc>
          <w:tcPr>
            <w:tcW w:w="2165" w:type="dxa"/>
            <w:hideMark/>
          </w:tcPr>
          <w:p w14:paraId="0AD35407" w14:textId="7A70C358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>Postai irányítószám:</w:t>
            </w:r>
            <w:r w:rsidRPr="007A402F">
              <w:rPr>
                <w:sz w:val="22"/>
                <w:szCs w:val="22"/>
              </w:rPr>
              <w:t xml:space="preserve"> </w:t>
            </w:r>
            <w:r w:rsidR="008B3F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4440</w:t>
            </w:r>
          </w:p>
        </w:tc>
        <w:tc>
          <w:tcPr>
            <w:tcW w:w="2485" w:type="dxa"/>
            <w:hideMark/>
          </w:tcPr>
          <w:p w14:paraId="684B582C" w14:textId="77777777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 xml:space="preserve">Ország: </w:t>
            </w:r>
            <w:r w:rsidRPr="004E4F75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Magyarország</w:t>
            </w:r>
          </w:p>
        </w:tc>
      </w:tr>
      <w:tr w:rsidR="00DD6F55" w:rsidRPr="007A402F" w14:paraId="0047280C" w14:textId="77777777" w:rsidTr="00E26F8E">
        <w:tc>
          <w:tcPr>
            <w:tcW w:w="7310" w:type="dxa"/>
            <w:gridSpan w:val="3"/>
            <w:shd w:val="clear" w:color="auto" w:fill="auto"/>
            <w:hideMark/>
          </w:tcPr>
          <w:p w14:paraId="02DCEA64" w14:textId="70697103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 xml:space="preserve">Kapcsolattartó személy: </w:t>
            </w:r>
            <w:r w:rsidR="008B3F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Kovács Edina</w:t>
            </w:r>
          </w:p>
        </w:tc>
        <w:tc>
          <w:tcPr>
            <w:tcW w:w="2485" w:type="dxa"/>
            <w:shd w:val="clear" w:color="auto" w:fill="auto"/>
            <w:vAlign w:val="center"/>
            <w:hideMark/>
          </w:tcPr>
          <w:p w14:paraId="7018BE3D" w14:textId="478C5189" w:rsidR="00DD6F55" w:rsidRPr="003F5C07" w:rsidRDefault="00DD6F55" w:rsidP="00E26F8E">
            <w:pPr>
              <w:shd w:val="clear" w:color="auto" w:fill="FFFFFF"/>
              <w:rPr>
                <w:rFonts w:ascii="Helvetica" w:eastAsia="Times New Roman" w:hAnsi="Helvetica" w:cs="Helvetica"/>
                <w:color w:val="000000"/>
                <w:sz w:val="21"/>
                <w:szCs w:val="21"/>
              </w:rPr>
            </w:pPr>
            <w:r w:rsidRPr="007A402F">
              <w:rPr>
                <w:rFonts w:eastAsia="Times New Roman"/>
                <w:sz w:val="22"/>
                <w:szCs w:val="22"/>
              </w:rPr>
              <w:t>Telefon:</w:t>
            </w:r>
            <w:r w:rsidRPr="007A402F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+36 </w:t>
            </w:r>
            <w:hyperlink r:id="rId7" w:history="1">
              <w:r w:rsidR="008B3F6B">
                <w:rPr>
                  <w:rFonts w:ascii="Helvetica" w:hAnsi="Helvetica" w:cs="Helvetica"/>
                  <w:color w:val="336699"/>
                  <w:sz w:val="21"/>
                  <w:szCs w:val="21"/>
                </w:rPr>
                <w:t>308718896</w:t>
              </w:r>
            </w:hyperlink>
          </w:p>
        </w:tc>
      </w:tr>
      <w:tr w:rsidR="00DD6F55" w:rsidRPr="007A402F" w14:paraId="7DCA75D6" w14:textId="77777777" w:rsidTr="00E26F8E">
        <w:tc>
          <w:tcPr>
            <w:tcW w:w="7310" w:type="dxa"/>
            <w:gridSpan w:val="3"/>
            <w:shd w:val="clear" w:color="auto" w:fill="auto"/>
            <w:hideMark/>
          </w:tcPr>
          <w:p w14:paraId="44D7FE8B" w14:textId="26015F87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>E-mail:</w:t>
            </w:r>
            <w:r w:rsidRPr="007A402F">
              <w:rPr>
                <w:sz w:val="22"/>
                <w:szCs w:val="22"/>
              </w:rPr>
              <w:t xml:space="preserve"> </w:t>
            </w:r>
            <w:hyperlink r:id="rId8" w:history="1">
              <w:r w:rsidR="008B3F6B" w:rsidRPr="008B3F6B">
                <w:rPr>
                  <w:rStyle w:val="Hiperhivatkozs"/>
                  <w:color w:val="0070C0"/>
                </w:rPr>
                <w:t>kovacs.edina@tiszavasvari.hu</w:t>
              </w:r>
            </w:hyperlink>
          </w:p>
        </w:tc>
        <w:tc>
          <w:tcPr>
            <w:tcW w:w="2485" w:type="dxa"/>
            <w:shd w:val="clear" w:color="auto" w:fill="auto"/>
            <w:hideMark/>
          </w:tcPr>
          <w:p w14:paraId="2D4CFE74" w14:textId="738C5C6C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>Fax</w:t>
            </w:r>
            <w:r w:rsidRPr="007A402F">
              <w:rPr>
                <w:sz w:val="22"/>
                <w:szCs w:val="22"/>
                <w:shd w:val="clear" w:color="auto" w:fill="FFFFFF"/>
              </w:rPr>
              <w:t xml:space="preserve">: 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+36 </w:t>
            </w:r>
            <w:hyperlink r:id="rId9" w:history="1">
              <w:r w:rsidR="008B3F6B">
                <w:rPr>
                  <w:rFonts w:ascii="Helvetica" w:hAnsi="Helvetica" w:cs="Helvetica"/>
                  <w:color w:val="336699"/>
                  <w:sz w:val="21"/>
                  <w:szCs w:val="21"/>
                </w:rPr>
                <w:t>42275000</w:t>
              </w:r>
            </w:hyperlink>
          </w:p>
        </w:tc>
      </w:tr>
      <w:tr w:rsidR="00DD6F55" w:rsidRPr="007A402F" w14:paraId="600C1FD6" w14:textId="77777777" w:rsidTr="00E26F8E">
        <w:tc>
          <w:tcPr>
            <w:tcW w:w="9795" w:type="dxa"/>
            <w:gridSpan w:val="4"/>
            <w:shd w:val="clear" w:color="auto" w:fill="FFFFFF" w:themeFill="background1"/>
            <w:hideMark/>
          </w:tcPr>
          <w:p w14:paraId="5B17A0CE" w14:textId="77777777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proofErr w:type="gramStart"/>
            <w:r w:rsidRPr="007A402F">
              <w:rPr>
                <w:rFonts w:eastAsia="Times New Roman"/>
                <w:b/>
                <w:bCs/>
                <w:sz w:val="22"/>
                <w:szCs w:val="22"/>
              </w:rPr>
              <w:t>Internetcím(</w:t>
            </w:r>
            <w:proofErr w:type="spellStart"/>
            <w:proofErr w:type="gramEnd"/>
            <w:r w:rsidRPr="007A402F">
              <w:rPr>
                <w:rFonts w:eastAsia="Times New Roman"/>
                <w:b/>
                <w:bCs/>
                <w:sz w:val="22"/>
                <w:szCs w:val="22"/>
              </w:rPr>
              <w:t>ek</w:t>
            </w:r>
            <w:proofErr w:type="spellEnd"/>
            <w:r w:rsidRPr="007A402F">
              <w:rPr>
                <w:rFonts w:eastAsia="Times New Roman"/>
                <w:b/>
                <w:bCs/>
                <w:sz w:val="22"/>
                <w:szCs w:val="22"/>
              </w:rPr>
              <w:t>)</w:t>
            </w:r>
          </w:p>
          <w:p w14:paraId="3480E7A9" w14:textId="70119E77" w:rsidR="00DD6F55" w:rsidRPr="00005267" w:rsidRDefault="00DD6F55" w:rsidP="00E26F8E">
            <w:pPr>
              <w:spacing w:before="120" w:after="12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7A402F">
              <w:rPr>
                <w:rFonts w:eastAsia="Times New Roman"/>
                <w:sz w:val="22"/>
                <w:szCs w:val="22"/>
              </w:rPr>
              <w:t xml:space="preserve">Az ajánlatkérő általános címe: </w:t>
            </w:r>
            <w:r w:rsidRPr="007A402F">
              <w:rPr>
                <w:rFonts w:eastAsia="Times New Roman"/>
                <w:i/>
                <w:iCs/>
                <w:sz w:val="22"/>
                <w:szCs w:val="22"/>
              </w:rPr>
              <w:t>(URL)</w:t>
            </w:r>
            <w:r w:rsidRPr="007A402F">
              <w:rPr>
                <w:sz w:val="22"/>
                <w:szCs w:val="22"/>
              </w:rPr>
              <w:t xml:space="preserve"> </w:t>
            </w:r>
            <w:r w:rsidR="008B3F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www.tiszavasvari.hu</w:t>
            </w:r>
          </w:p>
          <w:p w14:paraId="50441CA7" w14:textId="57CCED5A" w:rsidR="00DD6F55" w:rsidRPr="007A402F" w:rsidRDefault="00DD6F55" w:rsidP="00E26F8E">
            <w:pPr>
              <w:spacing w:before="120" w:after="120"/>
              <w:rPr>
                <w:rFonts w:eastAsia="Times New Roman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</w:rPr>
              <w:t xml:space="preserve">A felhasználói oldal címe: </w:t>
            </w:r>
            <w:r w:rsidRPr="007A402F">
              <w:rPr>
                <w:rFonts w:eastAsia="Times New Roman"/>
                <w:i/>
                <w:iCs/>
                <w:sz w:val="22"/>
                <w:szCs w:val="22"/>
              </w:rPr>
              <w:t>(URL)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E80F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www.ekr</w:t>
            </w:r>
            <w:r w:rsidR="0066053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.gov</w:t>
            </w:r>
            <w:r w:rsidRPr="00E80F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.hu</w:t>
            </w:r>
          </w:p>
        </w:tc>
      </w:tr>
    </w:tbl>
    <w:p w14:paraId="6DC442E0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1D4684B0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I.2) Közös közbeszerzés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37484E" w:rsidRPr="007A402F" w14:paraId="2713B8C8" w14:textId="77777777" w:rsidTr="00846281">
        <w:tc>
          <w:tcPr>
            <w:tcW w:w="0" w:type="auto"/>
            <w:hideMark/>
          </w:tcPr>
          <w:p w14:paraId="355D0A6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A szerződés közös közbeszerzés formájában valósul meg.</w:t>
            </w:r>
          </w:p>
          <w:p w14:paraId="4D653A02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Több ország részvételével megvalósuló közös közbeszerzés.</w:t>
            </w:r>
          </w:p>
          <w:p w14:paraId="3F6F2CBA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A szerződést központi beszerző szerv ítéli oda.</w:t>
            </w:r>
          </w:p>
        </w:tc>
      </w:tr>
    </w:tbl>
    <w:p w14:paraId="3AA4A8FF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I.3) Az ajánlatkérő típusa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2"/>
        <w:gridCol w:w="4753"/>
      </w:tblGrid>
      <w:tr w:rsidR="0037484E" w:rsidRPr="007A402F" w14:paraId="3355D85D" w14:textId="77777777" w:rsidTr="00846281">
        <w:tc>
          <w:tcPr>
            <w:tcW w:w="5042" w:type="dxa"/>
            <w:hideMark/>
          </w:tcPr>
          <w:p w14:paraId="59F41E65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Központi szintű</w:t>
            </w:r>
          </w:p>
          <w:p w14:paraId="053EE7C8" w14:textId="504F87F0" w:rsidR="0037484E" w:rsidRPr="00C31020" w:rsidRDefault="00646C18" w:rsidP="00846281">
            <w:pPr>
              <w:spacing w:before="120" w:after="120"/>
              <w:jc w:val="left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166EF4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</w:t>
            </w:r>
            <w:r w:rsidR="0037484E" w:rsidRPr="00C3102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="0037484E" w:rsidRPr="00646C18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Regionális/helyi szintű</w:t>
            </w:r>
          </w:p>
          <w:p w14:paraId="594E8406" w14:textId="62517D49" w:rsidR="0037484E" w:rsidRPr="007A402F" w:rsidRDefault="00646C18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</w:t>
            </w:r>
            <w:r w:rsidR="0037484E" w:rsidRPr="00646C18">
              <w:rPr>
                <w:rFonts w:eastAsia="Times New Roman"/>
                <w:sz w:val="22"/>
                <w:szCs w:val="22"/>
                <w:lang w:eastAsia="hu-HU"/>
              </w:rPr>
              <w:t xml:space="preserve"> Közjogi szervezet</w:t>
            </w:r>
          </w:p>
        </w:tc>
        <w:tc>
          <w:tcPr>
            <w:tcW w:w="4753" w:type="dxa"/>
            <w:hideMark/>
          </w:tcPr>
          <w:p w14:paraId="342BC601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Közszolgáltató</w:t>
            </w:r>
          </w:p>
          <w:p w14:paraId="0E57D674" w14:textId="77777777" w:rsidR="0037484E" w:rsidRPr="007A402F" w:rsidRDefault="0037484E" w:rsidP="00846281">
            <w:pPr>
              <w:spacing w:before="120" w:after="120"/>
              <w:jc w:val="left"/>
              <w:rPr>
                <w:sz w:val="22"/>
                <w:szCs w:val="22"/>
                <w:shd w:val="clear" w:color="auto" w:fill="FFFFFF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Támogatott szervezet [Kbt. 5. § (2)-(3) bekezdés]</w:t>
            </w:r>
          </w:p>
          <w:p w14:paraId="5ACADB8F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Egyéb:</w:t>
            </w:r>
          </w:p>
        </w:tc>
      </w:tr>
    </w:tbl>
    <w:p w14:paraId="7F5A3256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424A032E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 xml:space="preserve">I.4) Fő tevékenység </w:t>
      </w:r>
      <w:r w:rsidRPr="007A402F">
        <w:rPr>
          <w:rFonts w:eastAsia="Times New Roman"/>
          <w:i/>
          <w:iCs/>
          <w:sz w:val="22"/>
          <w:szCs w:val="22"/>
          <w:lang w:eastAsia="hu-HU"/>
        </w:rPr>
        <w:t>(klasszikus ajánlatkérők esetében)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2"/>
        <w:gridCol w:w="4753"/>
      </w:tblGrid>
      <w:tr w:rsidR="0037484E" w:rsidRPr="007A402F" w14:paraId="78FE6E9A" w14:textId="77777777" w:rsidTr="00846281">
        <w:tc>
          <w:tcPr>
            <w:tcW w:w="5042" w:type="dxa"/>
            <w:hideMark/>
          </w:tcPr>
          <w:p w14:paraId="34AE4E04" w14:textId="77777777" w:rsidR="003D128B" w:rsidRPr="000C1510" w:rsidRDefault="003D128B" w:rsidP="003D128B">
            <w:pPr>
              <w:spacing w:before="120" w:after="120"/>
              <w:rPr>
                <w:rFonts w:ascii="Garamond" w:hAnsi="Garamond"/>
                <w:color w:val="336699"/>
                <w:sz w:val="22"/>
                <w:szCs w:val="22"/>
                <w:shd w:val="clear" w:color="auto" w:fill="FFFFFF"/>
              </w:rPr>
            </w:pPr>
            <w:r w:rsidRPr="00C1227A">
              <w:rPr>
                <w:rFonts w:ascii="Helvetica" w:hAnsi="Helvetica"/>
                <w:color w:val="336699"/>
                <w:sz w:val="21"/>
                <w:szCs w:val="21"/>
                <w:shd w:val="clear" w:color="auto" w:fill="FFFFFF"/>
              </w:rPr>
              <w:t>X</w:t>
            </w:r>
            <w:r w:rsidRPr="000C1510">
              <w:rPr>
                <w:rFonts w:ascii="Garamond" w:hAnsi="Garamond"/>
                <w:color w:val="336699"/>
                <w:sz w:val="22"/>
                <w:szCs w:val="22"/>
                <w:shd w:val="clear" w:color="auto" w:fill="FFFFFF"/>
              </w:rPr>
              <w:t xml:space="preserve"> </w:t>
            </w:r>
            <w:r w:rsidRPr="00033A6F">
              <w:rPr>
                <w:rFonts w:ascii="Helvetica" w:hAnsi="Helvetica"/>
                <w:color w:val="336699"/>
                <w:sz w:val="21"/>
                <w:szCs w:val="21"/>
                <w:shd w:val="clear" w:color="auto" w:fill="FFFFFF"/>
              </w:rPr>
              <w:t>Általános közszolgáltatások</w:t>
            </w:r>
          </w:p>
          <w:p w14:paraId="4C4B5A1A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Honvédelem</w:t>
            </w:r>
          </w:p>
          <w:p w14:paraId="01CC76D5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Közrend és biztonság</w:t>
            </w:r>
          </w:p>
          <w:p w14:paraId="1BF785A0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Környezetvédelem</w:t>
            </w:r>
          </w:p>
          <w:p w14:paraId="01CE001B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Gazdasági és pénzügyek</w:t>
            </w:r>
          </w:p>
          <w:p w14:paraId="56E6C008" w14:textId="77777777" w:rsidR="0037484E" w:rsidRPr="007A402F" w:rsidRDefault="0037484E" w:rsidP="00846281">
            <w:pPr>
              <w:spacing w:before="120" w:after="120"/>
              <w:ind w:left="180" w:hanging="1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Egészségügy</w:t>
            </w:r>
          </w:p>
        </w:tc>
        <w:tc>
          <w:tcPr>
            <w:tcW w:w="4753" w:type="dxa"/>
            <w:hideMark/>
          </w:tcPr>
          <w:p w14:paraId="6D61E3E6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Lakásszolgáltatás és közösségi rekreáció</w:t>
            </w:r>
          </w:p>
          <w:p w14:paraId="5F70DC1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Szociális védelem</w:t>
            </w:r>
          </w:p>
          <w:p w14:paraId="07B89A81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Szabadidő, kultúra és vallás</w:t>
            </w:r>
          </w:p>
          <w:p w14:paraId="68C750E9" w14:textId="71D00F03" w:rsidR="000339B3" w:rsidRPr="000C1510" w:rsidRDefault="003D128B" w:rsidP="000339B3">
            <w:pPr>
              <w:spacing w:before="120" w:after="120"/>
              <w:rPr>
                <w:rFonts w:ascii="Garamond" w:eastAsia="Times New Roman" w:hAnsi="Garamond"/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</w:t>
            </w:r>
            <w:r w:rsidR="000339B3" w:rsidRPr="000C1510">
              <w:rPr>
                <w:rFonts w:ascii="Garamond" w:eastAsia="Times New Roman" w:hAnsi="Garamond"/>
                <w:sz w:val="22"/>
                <w:szCs w:val="22"/>
              </w:rPr>
              <w:t xml:space="preserve"> </w:t>
            </w:r>
            <w:r w:rsidR="000339B3" w:rsidRPr="003D128B">
              <w:rPr>
                <w:rFonts w:eastAsia="Times New Roman"/>
                <w:sz w:val="22"/>
                <w:szCs w:val="22"/>
                <w:lang w:eastAsia="hu-HU"/>
              </w:rPr>
              <w:t>Oktatás</w:t>
            </w:r>
          </w:p>
          <w:p w14:paraId="772246AE" w14:textId="76AE6284" w:rsidR="0037484E" w:rsidRPr="007A402F" w:rsidRDefault="00646C18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</w:t>
            </w:r>
            <w:r w:rsidR="0037484E" w:rsidRPr="00646C18">
              <w:rPr>
                <w:rFonts w:eastAsia="Times New Roman"/>
                <w:sz w:val="22"/>
                <w:szCs w:val="22"/>
                <w:lang w:eastAsia="hu-HU"/>
              </w:rPr>
              <w:t xml:space="preserve"> Egyéb tevékenység:</w:t>
            </w:r>
            <w:r w:rsidR="0037484E" w:rsidRPr="00B04C09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14:paraId="53E611A4" w14:textId="32D59333" w:rsidR="0037484E" w:rsidRDefault="0037484E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467CE0F2" w14:textId="3FCE8073" w:rsidR="0013272A" w:rsidRDefault="0013272A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7022A220" w14:textId="77777777" w:rsidR="0013272A" w:rsidRPr="007A402F" w:rsidRDefault="0013272A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3C3F989F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lastRenderedPageBreak/>
        <w:t>II. szakasz: Tárgy</w:t>
      </w:r>
    </w:p>
    <w:p w14:paraId="6ECECFA5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II.1) Meghatározás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37484E" w:rsidRPr="007A402F" w14:paraId="2F1852E6" w14:textId="77777777" w:rsidTr="00846281">
        <w:tc>
          <w:tcPr>
            <w:tcW w:w="9795" w:type="dxa"/>
            <w:shd w:val="clear" w:color="auto" w:fill="auto"/>
            <w:hideMark/>
          </w:tcPr>
          <w:p w14:paraId="0F00DC83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II.1.1) </w:t>
            </w:r>
            <w:proofErr w:type="gram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A</w:t>
            </w:r>
            <w:proofErr w:type="gram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szerződés típusa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C3102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 Építési beruházás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 Árubeszerzés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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Szolgáltatásmegrendelés</w:t>
            </w:r>
            <w:proofErr w:type="spellEnd"/>
          </w:p>
        </w:tc>
      </w:tr>
      <w:tr w:rsidR="0037484E" w:rsidRPr="007A402F" w14:paraId="412ED7AB" w14:textId="77777777" w:rsidTr="00846281">
        <w:tc>
          <w:tcPr>
            <w:tcW w:w="0" w:type="auto"/>
            <w:hideMark/>
          </w:tcPr>
          <w:p w14:paraId="53311C11" w14:textId="77777777" w:rsidR="0037484E" w:rsidRPr="007A402F" w:rsidRDefault="0037484E" w:rsidP="00846281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II.1.2) Fő </w:t>
            </w:r>
            <w:proofErr w:type="spell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CPV-kód</w:t>
            </w:r>
            <w:proofErr w:type="spell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: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</w:p>
          <w:p w14:paraId="1E0EA234" w14:textId="77777777" w:rsidR="0037484E" w:rsidRPr="007A402F" w:rsidRDefault="0037484E" w:rsidP="00846281">
            <w:pPr>
              <w:rPr>
                <w:sz w:val="22"/>
                <w:szCs w:val="22"/>
                <w:shd w:val="clear" w:color="auto" w:fill="FFFFFF"/>
              </w:rPr>
            </w:pPr>
          </w:p>
          <w:p w14:paraId="41777E66" w14:textId="2DF20C5D" w:rsidR="0037484E" w:rsidRDefault="00CF7AA0" w:rsidP="00846281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C7257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45000000-7 Építési munkák</w:t>
            </w:r>
          </w:p>
          <w:p w14:paraId="39D11BF6" w14:textId="77777777" w:rsidR="00CF7AA0" w:rsidRPr="007A402F" w:rsidRDefault="00CF7AA0" w:rsidP="00846281">
            <w:pPr>
              <w:rPr>
                <w:sz w:val="22"/>
                <w:szCs w:val="22"/>
                <w:shd w:val="clear" w:color="auto" w:fill="FFFFFF"/>
              </w:rPr>
            </w:pPr>
          </w:p>
          <w:p w14:paraId="2038E17A" w14:textId="77777777" w:rsidR="0037484E" w:rsidRPr="007A402F" w:rsidRDefault="0037484E" w:rsidP="00846281">
            <w:pPr>
              <w:rPr>
                <w:bCs/>
                <w:sz w:val="22"/>
                <w:szCs w:val="22"/>
              </w:rPr>
            </w:pPr>
            <w:r w:rsidRPr="007A402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Kiegészítő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CPV-kód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1 2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][ ][ ]</w:t>
            </w:r>
          </w:p>
        </w:tc>
      </w:tr>
      <w:tr w:rsidR="0037484E" w:rsidRPr="007A402F" w14:paraId="4B6B4B20" w14:textId="77777777" w:rsidTr="00846281">
        <w:tc>
          <w:tcPr>
            <w:tcW w:w="0" w:type="auto"/>
            <w:hideMark/>
          </w:tcPr>
          <w:p w14:paraId="3D148680" w14:textId="746A9098" w:rsidR="0037484E" w:rsidRPr="00506744" w:rsidRDefault="0037484E" w:rsidP="00846281">
            <w:pPr>
              <w:pStyle w:val="Szvegtrzs3"/>
              <w:jc w:val="both"/>
              <w:rPr>
                <w:rFonts w:ascii="Helvetica" w:eastAsia="Calibri" w:hAnsi="Helvetica" w:cs="Helvetica"/>
                <w:b/>
                <w:color w:val="336699"/>
                <w:sz w:val="21"/>
                <w:szCs w:val="21"/>
                <w:shd w:val="clear" w:color="auto" w:fill="FFFFFF"/>
                <w:lang w:eastAsia="en-US"/>
              </w:rPr>
            </w:pPr>
            <w:r w:rsidRPr="007A402F">
              <w:rPr>
                <w:b/>
                <w:bCs/>
                <w:sz w:val="22"/>
                <w:szCs w:val="22"/>
              </w:rPr>
              <w:t xml:space="preserve">II.1.3) </w:t>
            </w:r>
            <w:proofErr w:type="gramStart"/>
            <w:r w:rsidRPr="007A402F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7A402F">
              <w:rPr>
                <w:b/>
                <w:bCs/>
                <w:sz w:val="22"/>
                <w:szCs w:val="22"/>
              </w:rPr>
              <w:t xml:space="preserve"> szerződés tárgya:</w:t>
            </w:r>
            <w:r w:rsidRPr="007A402F">
              <w:rPr>
                <w:sz w:val="22"/>
                <w:szCs w:val="22"/>
              </w:rPr>
              <w:t xml:space="preserve"> </w:t>
            </w:r>
            <w:bookmarkStart w:id="0" w:name="_Hlk532290303"/>
            <w:bookmarkStart w:id="1" w:name="_Hlk1387626"/>
            <w:bookmarkStart w:id="2" w:name="_Hlk1051520"/>
            <w:r w:rsidRPr="003D501F">
              <w:rPr>
                <w:rFonts w:ascii="Helvetica" w:eastAsia="Calibri" w:hAnsi="Helvetica" w:cs="Helvetica"/>
                <w:bCs/>
                <w:color w:val="336699"/>
                <w:sz w:val="21"/>
                <w:szCs w:val="21"/>
                <w:shd w:val="clear" w:color="auto" w:fill="FFFFFF"/>
                <w:lang w:eastAsia="en-US"/>
              </w:rPr>
              <w:t>„</w:t>
            </w:r>
            <w:r w:rsidR="0066053E">
              <w:rPr>
                <w:rFonts w:ascii="Helvetica" w:eastAsia="Calibri" w:hAnsi="Helvetica" w:cs="Helvetica"/>
                <w:bCs/>
                <w:color w:val="336699"/>
                <w:sz w:val="21"/>
                <w:szCs w:val="21"/>
                <w:shd w:val="clear" w:color="auto" w:fill="FFFFFF"/>
                <w:lang w:eastAsia="en-US"/>
              </w:rPr>
              <w:t>Központi orvosi rendelő bővítése és átalakítása</w:t>
            </w:r>
            <w:r w:rsidRPr="003D501F">
              <w:rPr>
                <w:rFonts w:ascii="Helvetica" w:eastAsia="Calibri" w:hAnsi="Helvetica" w:cs="Helvetica"/>
                <w:bCs/>
                <w:color w:val="336699"/>
                <w:sz w:val="21"/>
                <w:szCs w:val="21"/>
                <w:shd w:val="clear" w:color="auto" w:fill="FFFFFF"/>
                <w:lang w:eastAsia="en-US"/>
              </w:rPr>
              <w:t>”</w:t>
            </w:r>
            <w:bookmarkEnd w:id="0"/>
            <w:bookmarkEnd w:id="1"/>
          </w:p>
          <w:bookmarkEnd w:id="2"/>
          <w:p w14:paraId="5778ABFF" w14:textId="77777777" w:rsidR="0037484E" w:rsidRPr="007A402F" w:rsidRDefault="0037484E" w:rsidP="00846281">
            <w:pPr>
              <w:rPr>
                <w:sz w:val="22"/>
                <w:szCs w:val="22"/>
              </w:rPr>
            </w:pPr>
          </w:p>
        </w:tc>
      </w:tr>
      <w:tr w:rsidR="0037484E" w:rsidRPr="007A402F" w14:paraId="23A08347" w14:textId="77777777" w:rsidTr="00846281">
        <w:tc>
          <w:tcPr>
            <w:tcW w:w="0" w:type="auto"/>
            <w:shd w:val="clear" w:color="auto" w:fill="auto"/>
            <w:hideMark/>
          </w:tcPr>
          <w:p w14:paraId="6E2DDD45" w14:textId="6C9C3807" w:rsidR="0037484E" w:rsidRPr="001A6E21" w:rsidRDefault="0037484E" w:rsidP="00846281">
            <w:pPr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 w:rsidRPr="001A6E21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II.1.4) </w:t>
            </w:r>
            <w:proofErr w:type="gramStart"/>
            <w:r w:rsidRPr="001A6E21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A</w:t>
            </w:r>
            <w:proofErr w:type="gramEnd"/>
            <w:r w:rsidRPr="001A6E21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közbeszerzés mennyisége: </w:t>
            </w:r>
          </w:p>
          <w:p w14:paraId="708E8751" w14:textId="77777777" w:rsidR="0037484E" w:rsidRPr="001A6E21" w:rsidRDefault="0037484E" w:rsidP="00846281">
            <w:pPr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</w:p>
          <w:p w14:paraId="3E077ECA" w14:textId="77777777" w:rsidR="00D6707D" w:rsidRPr="001A6E21" w:rsidRDefault="0037484E" w:rsidP="00846281">
            <w:pPr>
              <w:pStyle w:val="Jegyzetszveg"/>
              <w:rPr>
                <w:sz w:val="22"/>
                <w:szCs w:val="22"/>
              </w:rPr>
            </w:pPr>
            <w:r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Az eljárás során az alábbi építési feladatok lefolytatására kerül sor:</w:t>
            </w:r>
            <w:r w:rsidR="00D6707D" w:rsidRPr="001A6E21">
              <w:rPr>
                <w:sz w:val="22"/>
                <w:szCs w:val="22"/>
              </w:rPr>
              <w:t xml:space="preserve"> </w:t>
            </w:r>
          </w:p>
          <w:p w14:paraId="7D0C5646" w14:textId="487CC6D8" w:rsidR="0037484E" w:rsidRPr="00731126" w:rsidRDefault="006A1606" w:rsidP="007B2141">
            <w:pPr>
              <w:autoSpaceDE w:val="0"/>
              <w:autoSpaceDN w:val="0"/>
              <w:adjustRightInd w:val="0"/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</w:pP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A meglévő központi orvosi rendelő bővítése 220 m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  <w:vertAlign w:val="superscript"/>
              </w:rPr>
              <w:t>2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nettó alapterületű </w:t>
            </w:r>
            <w:r w:rsidR="00A23EB5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emeletes 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épületszárny építésével a részi épületszárny elbontásával, valamint az épület</w:t>
            </w:r>
            <w:r w:rsidR="00242C8E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működéséhez szükséges parkolók</w:t>
            </w:r>
            <w:r w:rsidR="00242C8E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kialakítása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és </w:t>
            </w:r>
            <w:r w:rsidR="00242C8E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területrendezés is megvalósul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a meglévő garázsok elbontásával.</w:t>
            </w:r>
          </w:p>
          <w:p w14:paraId="1883CBD3" w14:textId="41340F25" w:rsidR="006A1606" w:rsidRPr="00731126" w:rsidRDefault="00A23EB5" w:rsidP="007B2141">
            <w:pPr>
              <w:autoSpaceDE w:val="0"/>
              <w:autoSpaceDN w:val="0"/>
              <w:adjustRightInd w:val="0"/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</w:pP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A 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bővítmény földszintjén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kerül kialakításra egy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mentési pont, ügy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e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leti gará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zs, labor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és a lift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, 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míg 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az emeleti részen pedig 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kialakításra kerülnek a 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vizesblokk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ok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és két körzeti orvosi rendelő 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váróval együtt, úgy hogy a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földszinten is és az emeleten is összenyitásra kerül a meglévő orvosi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</w:t>
            </w:r>
            <w:r w:rsidR="006A1606"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rendelő épü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lettel.</w:t>
            </w:r>
          </w:p>
          <w:p w14:paraId="49AA1A97" w14:textId="3732C904" w:rsidR="00A64094" w:rsidRPr="00731126" w:rsidRDefault="00A64094" w:rsidP="00846281">
            <w:pPr>
              <w:pStyle w:val="Jegyzetszveg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Főbb </w:t>
            </w:r>
            <w:r w:rsidR="006A32A9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építési 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mennyiségek:</w:t>
            </w:r>
          </w:p>
          <w:p w14:paraId="3FC2B1F6" w14:textId="652BF4EB" w:rsidR="0066053E" w:rsidRPr="00731126" w:rsidRDefault="00A64094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Földmunka összesen: 175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3</w:t>
            </w:r>
          </w:p>
          <w:p w14:paraId="625FC864" w14:textId="73CD257D" w:rsidR="00A64094" w:rsidRPr="00731126" w:rsidRDefault="00A64094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Síkalapozás összesen: 75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3</w:t>
            </w:r>
          </w:p>
          <w:p w14:paraId="202421D3" w14:textId="09E6203F" w:rsidR="00A64094" w:rsidRPr="00731126" w:rsidRDefault="00A64094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Betonacél szerelés összesen: 8,352 t</w:t>
            </w:r>
          </w:p>
          <w:p w14:paraId="5C6FC483" w14:textId="165355E2" w:rsidR="00A64094" w:rsidRPr="00731126" w:rsidRDefault="00A64094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Helyszíni betonozás összesen: 58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3</w:t>
            </w:r>
          </w:p>
          <w:p w14:paraId="16128683" w14:textId="0CF6B99B" w:rsidR="00A64094" w:rsidRPr="00731126" w:rsidRDefault="0053711C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proofErr w:type="spell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Előregyártott</w:t>
            </w:r>
            <w:proofErr w:type="spellEnd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szerkezetek: - </w:t>
            </w:r>
            <w:r w:rsidR="000F515C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nyílásáthidaló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összesen: 51 db</w:t>
            </w:r>
          </w:p>
          <w:p w14:paraId="49E089E5" w14:textId="77777777" w:rsidR="000F515C" w:rsidRPr="00731126" w:rsidRDefault="0053711C" w:rsidP="0053711C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                                         - </w:t>
            </w:r>
            <w:r w:rsidR="000F515C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födémgerenda összesen: 92 db</w:t>
            </w:r>
          </w:p>
          <w:p w14:paraId="4AE9E6DF" w14:textId="4475009C" w:rsidR="0053711C" w:rsidRPr="00731126" w:rsidRDefault="000F515C" w:rsidP="0053711C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                                         - béléstest összesen: 196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23428B62" w14:textId="2C4A7830" w:rsidR="0053711C" w:rsidRPr="00731126" w:rsidRDefault="000F515C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Teherhordó és kitöltő falazat készítése összesen: 265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0D7CB99A" w14:textId="7DD13645" w:rsidR="000F515C" w:rsidRPr="00731126" w:rsidRDefault="000F515C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Válaszfal építése összesen: 210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5E1BF5CB" w14:textId="26056524" w:rsidR="000F515C" w:rsidRPr="00731126" w:rsidRDefault="000F515C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Belső vakolási munkák összesen: 980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3805D28C" w14:textId="0582A2D3" w:rsidR="000F515C" w:rsidRPr="00731126" w:rsidRDefault="000F515C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Lábazati </w:t>
            </w:r>
            <w:proofErr w:type="gram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vakolat</w:t>
            </w:r>
            <w:r w:rsidR="006A32A9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készítés</w:t>
            </w:r>
            <w:proofErr w:type="gramEnd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összesen: 10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6FF596E6" w14:textId="30ACBBA3" w:rsidR="000F515C" w:rsidRPr="00731126" w:rsidRDefault="000F515C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Homlokzati vakolat</w:t>
            </w:r>
            <w:r w:rsidR="007563E5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összesen: </w:t>
            </w:r>
            <w:r w:rsidR="00CF2098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295 m</w:t>
            </w:r>
            <w:r w:rsidR="00CF2098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0FFBB2F2" w14:textId="77777777" w:rsidR="00F40B24" w:rsidRPr="00731126" w:rsidRDefault="00F40B24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Burkolatok összesen: 615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+ 63 </w:t>
            </w:r>
            <w:proofErr w:type="spell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fm</w:t>
            </w:r>
            <w:proofErr w:type="spellEnd"/>
          </w:p>
          <w:p w14:paraId="36C10FAF" w14:textId="77777777" w:rsidR="00F40B24" w:rsidRPr="00731126" w:rsidRDefault="00F40B24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Bádogozási munkálatok összesen: 147 m + 8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3C8931D0" w14:textId="63D07EAC" w:rsidR="006A32A9" w:rsidRPr="00731126" w:rsidRDefault="006A32A9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Nyílászárók: - fa nyílászáró összesen: 24 db</w:t>
            </w:r>
          </w:p>
          <w:p w14:paraId="7FAD1CFD" w14:textId="57C672E3" w:rsidR="006A32A9" w:rsidRPr="00731126" w:rsidRDefault="006A32A9" w:rsidP="006A32A9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                   - műanyag nyílászáró összesen: 35 db</w:t>
            </w:r>
          </w:p>
          <w:p w14:paraId="733252B7" w14:textId="6FD6F26D" w:rsidR="006A32A9" w:rsidRPr="00731126" w:rsidRDefault="006A32A9" w:rsidP="006A32A9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                   - füstelvezető nyílászáró összesen: 5 db</w:t>
            </w:r>
          </w:p>
          <w:p w14:paraId="6DA71994" w14:textId="3E3CB620" w:rsidR="00CF2098" w:rsidRPr="00731126" w:rsidRDefault="00F40B24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</w:t>
            </w:r>
            <w:r w:rsidR="006A32A9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Belső festés összesen: 1400 m</w:t>
            </w:r>
            <w:r w:rsidR="006A32A9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3A23BAC6" w14:textId="73B3FAD4" w:rsidR="006A32A9" w:rsidRPr="00731126" w:rsidRDefault="006A32A9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Szigetelési munkák (talajnedvesség, csapadékvíz, hő, hang, stb.) összesen: 1</w:t>
            </w:r>
            <w:r w:rsidR="00E54F09"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70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5AAA8888" w14:textId="67F3B28F" w:rsidR="00E54F09" w:rsidRPr="00731126" w:rsidRDefault="00E54F09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Térburkolat készítése összesen: 50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3BD003D3" w14:textId="5EA9B7EE" w:rsidR="00770591" w:rsidRPr="00731126" w:rsidRDefault="00770591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proofErr w:type="gram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Fűtőtest szerelés</w:t>
            </w:r>
            <w:proofErr w:type="gramEnd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összesen: 53 db</w:t>
            </w:r>
          </w:p>
          <w:p w14:paraId="300204B2" w14:textId="36D7143A" w:rsidR="00770591" w:rsidRPr="00731126" w:rsidRDefault="00984509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Kazán: 1 db</w:t>
            </w:r>
          </w:p>
          <w:p w14:paraId="16A87744" w14:textId="78E2F5FF" w:rsidR="002D11EE" w:rsidRPr="00731126" w:rsidRDefault="002D11EE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Lámpatestek összesen: 129 db</w:t>
            </w:r>
          </w:p>
          <w:p w14:paraId="46B1B2B8" w14:textId="4B26CE65" w:rsidR="004D1A9A" w:rsidRPr="00731126" w:rsidRDefault="004D1A9A" w:rsidP="00A64094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Útépítési munka, betonkő burkolat készítése összesen: 580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4C192032" w14:textId="77777777" w:rsidR="0053711C" w:rsidRPr="00A263F9" w:rsidRDefault="0053711C" w:rsidP="0053711C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</w:p>
          <w:p w14:paraId="2E4F9263" w14:textId="448DFDF3" w:rsidR="0037484E" w:rsidRPr="00731126" w:rsidRDefault="004D1A9A" w:rsidP="00731126">
            <w:pPr>
              <w:pStyle w:val="AONormal"/>
              <w:ind w:hanging="709"/>
              <w:rPr>
                <w:color w:val="4472C4" w:themeColor="accent1"/>
                <w:szCs w:val="22"/>
              </w:rPr>
            </w:pPr>
            <w:r>
              <w:rPr>
                <w:color w:val="4472C4" w:themeColor="accent1"/>
                <w:szCs w:val="22"/>
              </w:rPr>
              <w:t xml:space="preserve">            </w:t>
            </w:r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A </w:t>
            </w:r>
            <w:proofErr w:type="spellStart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részletes</w:t>
            </w:r>
            <w:proofErr w:type="spellEnd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műszaki</w:t>
            </w:r>
            <w:proofErr w:type="spellEnd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leírást</w:t>
            </w:r>
            <w:proofErr w:type="spellEnd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</w:t>
            </w:r>
            <w:proofErr w:type="spellStart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közbeszerzési</w:t>
            </w:r>
            <w:proofErr w:type="spellEnd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dokumentáció</w:t>
            </w:r>
            <w:proofErr w:type="spellEnd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tartalmazza</w:t>
            </w:r>
            <w:proofErr w:type="spellEnd"/>
            <w:r w:rsidR="0037484E"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</w:t>
            </w:r>
          </w:p>
          <w:p w14:paraId="3DAFBE26" w14:textId="77777777" w:rsidR="0037484E" w:rsidRPr="001A6E21" w:rsidRDefault="0037484E" w:rsidP="00846281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1A1E9E02" w14:textId="77777777" w:rsidR="0037484E" w:rsidRPr="001A6E21" w:rsidRDefault="0037484E" w:rsidP="00846281">
            <w:pPr>
              <w:rPr>
                <w:sz w:val="22"/>
                <w:szCs w:val="22"/>
              </w:rPr>
            </w:pPr>
            <w:r w:rsidRPr="001A6E2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Ajánlatkérő felhívja a figyelmet a 321/2015. (X.30) Korm. rendelet 46. § (3) bekezdésében foglaltakra.</w:t>
            </w:r>
          </w:p>
        </w:tc>
      </w:tr>
      <w:tr w:rsidR="0037484E" w:rsidRPr="007A402F" w14:paraId="04AD694B" w14:textId="77777777" w:rsidTr="005E2577">
        <w:tc>
          <w:tcPr>
            <w:tcW w:w="0" w:type="auto"/>
            <w:shd w:val="clear" w:color="auto" w:fill="auto"/>
            <w:hideMark/>
          </w:tcPr>
          <w:p w14:paraId="5FD8F862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II.1.5) </w:t>
            </w:r>
            <w:proofErr w:type="gram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A</w:t>
            </w:r>
            <w:proofErr w:type="gram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szerződés időtartama, vagy a teljesítés határideje:</w:t>
            </w:r>
          </w:p>
          <w:p w14:paraId="21BDAD48" w14:textId="154F707D" w:rsidR="0037484E" w:rsidRPr="007A402F" w:rsidRDefault="0037484E" w:rsidP="008F003A">
            <w:pPr>
              <w:rPr>
                <w:sz w:val="22"/>
                <w:szCs w:val="22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Időtartam hónapban</w:t>
            </w:r>
            <w:r w:rsidR="003E6A9C">
              <w:rPr>
                <w:rFonts w:eastAsia="Times New Roman"/>
                <w:sz w:val="22"/>
                <w:szCs w:val="22"/>
                <w:lang w:eastAsia="hu-HU"/>
              </w:rPr>
              <w:t>:</w:t>
            </w:r>
            <w:r w:rsidR="005E2577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="00731126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>202</w:t>
            </w:r>
            <w:r w:rsidR="008F003A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>2</w:t>
            </w:r>
            <w:r w:rsidR="00731126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>.03.</w:t>
            </w:r>
            <w:proofErr w:type="gramStart"/>
            <w:r w:rsidR="00731126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>01.</w:t>
            </w:r>
            <w:r w:rsidR="00085540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 xml:space="preserve">       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vagy</w:t>
            </w:r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napban: </w:t>
            </w:r>
            <w:r w:rsidR="006703D2">
              <w:rPr>
                <w:sz w:val="22"/>
                <w:szCs w:val="22"/>
                <w:lang w:eastAsia="hu-HU"/>
              </w:rPr>
              <w:t xml:space="preserve">           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vagy a teljesítés határideje</w:t>
            </w:r>
            <w:r w:rsidRPr="007B3417">
              <w:rPr>
                <w:rFonts w:eastAsia="Times New Roman"/>
                <w:sz w:val="22"/>
                <w:szCs w:val="22"/>
                <w:lang w:eastAsia="hu-HU"/>
              </w:rPr>
              <w:t xml:space="preserve">: </w:t>
            </w:r>
            <w:r w:rsidR="00242C8E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 xml:space="preserve">2022. </w:t>
            </w:r>
            <w:r w:rsidR="00525C41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>12.</w:t>
            </w:r>
            <w:r w:rsidR="00242C8E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 xml:space="preserve"> 31.</w:t>
            </w:r>
          </w:p>
        </w:tc>
      </w:tr>
      <w:tr w:rsidR="0037484E" w:rsidRPr="007A402F" w14:paraId="7F26587D" w14:textId="77777777" w:rsidTr="00846281">
        <w:tc>
          <w:tcPr>
            <w:tcW w:w="0" w:type="auto"/>
          </w:tcPr>
          <w:p w14:paraId="0BAD1653" w14:textId="77777777" w:rsidR="0037484E" w:rsidRPr="007A402F" w:rsidRDefault="0037484E" w:rsidP="00846281">
            <w:pPr>
              <w:rPr>
                <w:sz w:val="22"/>
                <w:szCs w:val="22"/>
              </w:rPr>
            </w:pPr>
            <w:r w:rsidRPr="007A402F">
              <w:rPr>
                <w:b/>
                <w:bCs/>
                <w:sz w:val="22"/>
                <w:szCs w:val="22"/>
              </w:rPr>
              <w:t xml:space="preserve">II.1.6) </w:t>
            </w:r>
            <w:proofErr w:type="gramStart"/>
            <w:r w:rsidRPr="007A402F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7A402F">
              <w:rPr>
                <w:b/>
                <w:bCs/>
                <w:sz w:val="22"/>
                <w:szCs w:val="22"/>
              </w:rPr>
              <w:t xml:space="preserve"> teljesítés helye:</w:t>
            </w:r>
            <w:r w:rsidRPr="007A402F">
              <w:rPr>
                <w:sz w:val="22"/>
                <w:szCs w:val="22"/>
              </w:rPr>
              <w:t xml:space="preserve"> </w:t>
            </w:r>
          </w:p>
          <w:p w14:paraId="0A3E2AD9" w14:textId="77777777" w:rsidR="0037484E" w:rsidRPr="007A402F" w:rsidRDefault="0037484E" w:rsidP="00846281">
            <w:pPr>
              <w:rPr>
                <w:sz w:val="22"/>
                <w:szCs w:val="22"/>
              </w:rPr>
            </w:pPr>
          </w:p>
          <w:p w14:paraId="0DFE7F42" w14:textId="77777777" w:rsidR="0037484E" w:rsidRPr="00C65AAD" w:rsidRDefault="0037484E" w:rsidP="00846281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C65AA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Magyarország</w:t>
            </w:r>
          </w:p>
          <w:p w14:paraId="03307BB2" w14:textId="18F9D708" w:rsidR="001A6E21" w:rsidRPr="0066053E" w:rsidRDefault="0066053E" w:rsidP="001A6E21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lastRenderedPageBreak/>
              <w:t xml:space="preserve">4440 </w:t>
            </w:r>
            <w:r w:rsidR="003D501F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Tiszavasvári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, </w:t>
            </w:r>
            <w:r>
              <w:rPr>
                <w:color w:val="0070C0"/>
                <w:sz w:val="22"/>
                <w:szCs w:val="22"/>
              </w:rPr>
              <w:t xml:space="preserve">Kossuth u. </w:t>
            </w:r>
            <w:r w:rsidR="00242C8E">
              <w:rPr>
                <w:color w:val="0070C0"/>
                <w:sz w:val="22"/>
                <w:szCs w:val="22"/>
              </w:rPr>
              <w:t>4</w:t>
            </w:r>
            <w:proofErr w:type="gramStart"/>
            <w:r w:rsidR="00242C8E">
              <w:rPr>
                <w:color w:val="0070C0"/>
                <w:sz w:val="22"/>
                <w:szCs w:val="22"/>
              </w:rPr>
              <w:t>.</w:t>
            </w:r>
            <w:r>
              <w:rPr>
                <w:color w:val="0070C0"/>
                <w:sz w:val="22"/>
                <w:szCs w:val="22"/>
              </w:rPr>
              <w:t>,</w:t>
            </w:r>
            <w:proofErr w:type="gramEnd"/>
            <w:r>
              <w:rPr>
                <w:color w:val="0070C0"/>
                <w:sz w:val="22"/>
                <w:szCs w:val="22"/>
              </w:rPr>
              <w:t xml:space="preserve"> 2852 hrsz.</w:t>
            </w:r>
          </w:p>
          <w:p w14:paraId="7290A449" w14:textId="77777777" w:rsidR="001A6E21" w:rsidRDefault="001A6E21" w:rsidP="001A6E21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6D0734AF" w14:textId="55B55024" w:rsidR="0037484E" w:rsidRPr="00C65AAD" w:rsidRDefault="0037484E" w:rsidP="00846281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proofErr w:type="spellStart"/>
            <w:r w:rsidRPr="00C65AA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NUTS-kód</w:t>
            </w:r>
            <w:proofErr w:type="spellEnd"/>
            <w:r w:rsidRPr="00C65AA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: 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HU</w:t>
            </w:r>
            <w:r w:rsidR="002F2CA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3</w:t>
            </w:r>
            <w:r w:rsidR="00EF6C4F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2</w:t>
            </w:r>
            <w:r w:rsidR="003D501F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3</w:t>
            </w:r>
          </w:p>
          <w:p w14:paraId="487D049A" w14:textId="77777777" w:rsidR="0037484E" w:rsidRPr="007A402F" w:rsidRDefault="0037484E" w:rsidP="0084628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7484E" w:rsidRPr="007A402F" w14:paraId="37CEDBE0" w14:textId="77777777" w:rsidTr="00846281">
        <w:tc>
          <w:tcPr>
            <w:tcW w:w="0" w:type="auto"/>
            <w:hideMark/>
          </w:tcPr>
          <w:p w14:paraId="7D1DBDB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lastRenderedPageBreak/>
              <w:t>II.1.7) Részekre bontás</w:t>
            </w:r>
          </w:p>
          <w:p w14:paraId="2CC13ED7" w14:textId="77777777" w:rsidR="00B424A0" w:rsidRDefault="00B424A0" w:rsidP="00B424A0">
            <w:pPr>
              <w:ind w:right="56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B424A0">
              <w:rPr>
                <w:rFonts w:eastAsia="Times New Roman"/>
                <w:sz w:val="22"/>
                <w:szCs w:val="22"/>
                <w:lang w:eastAsia="hu-HU"/>
              </w:rPr>
              <w:t>A beszerzés részekből áll o igen</w:t>
            </w:r>
            <w:r w:rsidRPr="000C1510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 xml:space="preserve"> </w:t>
            </w:r>
            <w:r w:rsidRPr="002806C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 nem</w:t>
            </w:r>
          </w:p>
          <w:p w14:paraId="0C9484C4" w14:textId="77777777" w:rsidR="00B424A0" w:rsidRPr="0099080E" w:rsidRDefault="00B424A0" w:rsidP="00B424A0">
            <w:pPr>
              <w:spacing w:before="120" w:after="12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9080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 Kbt. 61. § (4) bekezdése alapján a beszerzés tárgyának jellege és a szerződéshez kapcsolódó további körülmények nem teszik lehetővé a közbeszerzés egy részére történő ajánlattételt, figyelemmel arra, hogy a beruházás egy helyszínen valósul meg, továbbá az építési beruházás során elvégzendő munkarészek szerves egymáshoz kapcsolódása, a munkaterületek történő munkavégzés koordinálása, továbbá az egységes jótállási határidő biztosítása generál kivitelezés mellett biztosítható.</w:t>
            </w:r>
          </w:p>
          <w:p w14:paraId="38B611B2" w14:textId="77777777" w:rsidR="00B424A0" w:rsidRPr="00327337" w:rsidRDefault="00B424A0" w:rsidP="00B424A0">
            <w:pPr>
              <w:spacing w:before="120" w:after="12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proofErr w:type="spellStart"/>
            <w:r w:rsidRPr="0099080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Részajánlattétel</w:t>
            </w:r>
            <w:proofErr w:type="spellEnd"/>
            <w:r w:rsidRPr="0099080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biztosítása ellentétes lenne a gazdasági és műszaki és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z</w:t>
            </w:r>
            <w:r w:rsidRPr="0099080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szerűséggel.</w:t>
            </w:r>
          </w:p>
          <w:p w14:paraId="5B0A5E41" w14:textId="3BD19FDF" w:rsidR="0037484E" w:rsidRPr="007A402F" w:rsidRDefault="00B424A0" w:rsidP="00B424A0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B424A0">
              <w:rPr>
                <w:rFonts w:eastAsia="Times New Roman"/>
                <w:sz w:val="22"/>
                <w:szCs w:val="22"/>
                <w:lang w:eastAsia="hu-HU"/>
              </w:rPr>
              <w:t xml:space="preserve">Ajánlatok benyújthatók o valamennyi részre o legfeljebb a következő számú részre: </w:t>
            </w:r>
            <w:proofErr w:type="gramStart"/>
            <w:r w:rsidRPr="00B424A0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  <w:r w:rsidRPr="00B424A0">
              <w:rPr>
                <w:rFonts w:eastAsia="Times New Roman"/>
                <w:sz w:val="22"/>
                <w:szCs w:val="22"/>
                <w:lang w:eastAsia="hu-HU"/>
              </w:rPr>
              <w:t xml:space="preserve"> o csak egy részre</w:t>
            </w:r>
            <w:r w:rsidRPr="00B424A0">
              <w:rPr>
                <w:rFonts w:eastAsia="Times New Roman"/>
                <w:sz w:val="22"/>
                <w:szCs w:val="22"/>
                <w:lang w:eastAsia="hu-HU"/>
              </w:rPr>
              <w:br/>
              <w:t>□ Az egy ajánlattevőnek odaítélhető részek maximális száma: [ ]</w:t>
            </w:r>
            <w:r w:rsidRPr="00B424A0">
              <w:rPr>
                <w:rFonts w:eastAsia="Times New Roman"/>
                <w:sz w:val="22"/>
                <w:szCs w:val="22"/>
                <w:lang w:eastAsia="hu-HU"/>
              </w:rPr>
              <w:br/>
              <w:t>□ Az ajánlatkérő fenntartja a jogot arra, hogy a következő részek vagy részcsoportok kombinációjával ítéljen oda szerződéseket:</w:t>
            </w:r>
          </w:p>
        </w:tc>
      </w:tr>
    </w:tbl>
    <w:p w14:paraId="4BFB1B9D" w14:textId="77777777" w:rsidR="00AB495C" w:rsidRDefault="00AB495C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64732CAF" w14:textId="77777777" w:rsidR="007B2141" w:rsidRDefault="007B2141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31862B5D" w14:textId="77777777" w:rsidR="007B2141" w:rsidRDefault="007B2141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15D5E84F" w14:textId="5C0BCE6D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 xml:space="preserve">II.2) </w:t>
      </w:r>
      <w:proofErr w:type="gramStart"/>
      <w:r w:rsidRPr="007A402F">
        <w:rPr>
          <w:rFonts w:eastAsia="Times New Roman"/>
          <w:b/>
          <w:bCs/>
          <w:sz w:val="22"/>
          <w:szCs w:val="22"/>
          <w:lang w:eastAsia="hu-HU"/>
        </w:rPr>
        <w:t>A</w:t>
      </w:r>
      <w:proofErr w:type="gramEnd"/>
      <w:r w:rsidRPr="007A402F">
        <w:rPr>
          <w:rFonts w:eastAsia="Times New Roman"/>
          <w:b/>
          <w:bCs/>
          <w:sz w:val="22"/>
          <w:szCs w:val="22"/>
          <w:lang w:eastAsia="hu-HU"/>
        </w:rPr>
        <w:t xml:space="preserve"> közbeszerzés ismertetése </w:t>
      </w:r>
      <w:r w:rsidRPr="007A402F">
        <w:rPr>
          <w:rFonts w:eastAsia="Times New Roman"/>
          <w:sz w:val="22"/>
          <w:szCs w:val="22"/>
          <w:vertAlign w:val="superscript"/>
          <w:lang w:eastAsia="hu-HU"/>
        </w:rPr>
        <w:t>1</w:t>
      </w:r>
    </w:p>
    <w:tbl>
      <w:tblPr>
        <w:tblW w:w="9790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6"/>
        <w:gridCol w:w="2444"/>
      </w:tblGrid>
      <w:tr w:rsidR="0037484E" w:rsidRPr="007A402F" w14:paraId="29EC3637" w14:textId="77777777" w:rsidTr="00154189">
        <w:tc>
          <w:tcPr>
            <w:tcW w:w="7346" w:type="dxa"/>
            <w:shd w:val="clear" w:color="auto" w:fill="auto"/>
            <w:hideMark/>
          </w:tcPr>
          <w:p w14:paraId="4A3DE090" w14:textId="01670827" w:rsidR="0037484E" w:rsidRPr="00D40ACF" w:rsidRDefault="0037484E" w:rsidP="00D40ACF">
            <w:pPr>
              <w:autoSpaceDE w:val="0"/>
              <w:autoSpaceDN w:val="0"/>
              <w:adjustRightInd w:val="0"/>
              <w:ind w:right="160"/>
              <w:rPr>
                <w:rFonts w:ascii="Cambria-Bold" w:eastAsiaTheme="minorHAnsi" w:hAnsi="Cambria-Bold" w:cs="Cambria-Bold"/>
                <w:b/>
                <w:bCs/>
                <w:sz w:val="32"/>
                <w:szCs w:val="32"/>
              </w:rPr>
            </w:pPr>
            <w:r w:rsidRPr="007A402F">
              <w:rPr>
                <w:b/>
                <w:bCs/>
                <w:sz w:val="22"/>
                <w:szCs w:val="22"/>
              </w:rPr>
              <w:t xml:space="preserve">II.2.1) Elnevezés: </w:t>
            </w:r>
            <w:r w:rsidRPr="007A402F">
              <w:rPr>
                <w:sz w:val="22"/>
                <w:szCs w:val="22"/>
                <w:vertAlign w:val="superscript"/>
              </w:rPr>
              <w:t>2</w:t>
            </w:r>
            <w:r w:rsidRPr="007A402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3D501F" w:rsidRPr="003D501F">
              <w:rPr>
                <w:rFonts w:ascii="Helvetica" w:hAnsi="Helvetica" w:cs="Helvetica"/>
                <w:bCs/>
                <w:color w:val="336699"/>
                <w:sz w:val="21"/>
                <w:szCs w:val="21"/>
                <w:shd w:val="clear" w:color="auto" w:fill="FFFFFF"/>
              </w:rPr>
              <w:t>„</w:t>
            </w:r>
            <w:r w:rsidR="0066053E">
              <w:rPr>
                <w:rFonts w:ascii="Helvetica" w:hAnsi="Helvetica" w:cs="Helvetica"/>
                <w:bCs/>
                <w:color w:val="336699"/>
                <w:sz w:val="21"/>
                <w:szCs w:val="21"/>
                <w:shd w:val="clear" w:color="auto" w:fill="FFFFFF"/>
              </w:rPr>
              <w:t>Központi orvosi rendelő bővítése és átalakítása</w:t>
            </w:r>
            <w:r w:rsidR="003D501F" w:rsidRPr="003D501F">
              <w:rPr>
                <w:rFonts w:ascii="Helvetica" w:hAnsi="Helvetica" w:cs="Helvetica"/>
                <w:bCs/>
                <w:color w:val="336699"/>
                <w:sz w:val="21"/>
                <w:szCs w:val="21"/>
                <w:shd w:val="clear" w:color="auto" w:fill="FFFFFF"/>
              </w:rPr>
              <w:t>”</w:t>
            </w:r>
          </w:p>
        </w:tc>
        <w:tc>
          <w:tcPr>
            <w:tcW w:w="2444" w:type="dxa"/>
            <w:hideMark/>
          </w:tcPr>
          <w:p w14:paraId="42DCC130" w14:textId="7F40C751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Rész száma: </w:t>
            </w:r>
          </w:p>
        </w:tc>
      </w:tr>
      <w:tr w:rsidR="0037484E" w:rsidRPr="007A402F" w14:paraId="129343E9" w14:textId="77777777" w:rsidTr="00154189">
        <w:tc>
          <w:tcPr>
            <w:tcW w:w="9790" w:type="dxa"/>
            <w:gridSpan w:val="2"/>
            <w:hideMark/>
          </w:tcPr>
          <w:p w14:paraId="65E8A56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II.2.2) További </w:t>
            </w:r>
            <w:proofErr w:type="spellStart"/>
            <w:proofErr w:type="gram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CPV-kód</w:t>
            </w:r>
            <w:proofErr w:type="spell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(</w:t>
            </w:r>
            <w:proofErr w:type="gram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ok):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2</w:t>
            </w:r>
          </w:p>
          <w:p w14:paraId="291E874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Fő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CPV-kód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1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</w:p>
          <w:p w14:paraId="03923C4D" w14:textId="77777777" w:rsidR="0037484E" w:rsidRPr="0099439F" w:rsidRDefault="0037484E" w:rsidP="00846281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9439F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45000000-7 Építési munkák</w:t>
            </w:r>
          </w:p>
          <w:p w14:paraId="1C1FFF56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Kiegészítő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CPV-kód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1 2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][ ][ ]</w:t>
            </w:r>
          </w:p>
        </w:tc>
      </w:tr>
      <w:tr w:rsidR="0037484E" w:rsidRPr="007A402F" w14:paraId="2B57B7C6" w14:textId="77777777" w:rsidTr="00154189">
        <w:tc>
          <w:tcPr>
            <w:tcW w:w="9790" w:type="dxa"/>
            <w:gridSpan w:val="2"/>
            <w:shd w:val="clear" w:color="auto" w:fill="auto"/>
            <w:hideMark/>
          </w:tcPr>
          <w:p w14:paraId="36A107EE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II.2.3) </w:t>
            </w:r>
            <w:proofErr w:type="gram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A</w:t>
            </w:r>
            <w:proofErr w:type="gram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teljesítés helye:</w:t>
            </w:r>
          </w:p>
          <w:p w14:paraId="4181CADF" w14:textId="77777777" w:rsidR="0066053E" w:rsidRPr="00C65AAD" w:rsidRDefault="0066053E" w:rsidP="0066053E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C65AA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Magyarország</w:t>
            </w:r>
          </w:p>
          <w:p w14:paraId="2B50A248" w14:textId="70263251" w:rsidR="0066053E" w:rsidRPr="0066053E" w:rsidRDefault="0066053E" w:rsidP="0066053E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4440 Tiszavasvári, </w:t>
            </w:r>
            <w:r>
              <w:rPr>
                <w:color w:val="0070C0"/>
                <w:sz w:val="22"/>
                <w:szCs w:val="22"/>
              </w:rPr>
              <w:t xml:space="preserve">Kossuth u. </w:t>
            </w:r>
            <w:r w:rsidR="007B2141">
              <w:rPr>
                <w:color w:val="0070C0"/>
                <w:sz w:val="22"/>
                <w:szCs w:val="22"/>
              </w:rPr>
              <w:t>4</w:t>
            </w:r>
            <w:proofErr w:type="gramStart"/>
            <w:r>
              <w:rPr>
                <w:color w:val="0070C0"/>
                <w:sz w:val="22"/>
                <w:szCs w:val="22"/>
              </w:rPr>
              <w:t>.,</w:t>
            </w:r>
            <w:proofErr w:type="gramEnd"/>
            <w:r>
              <w:rPr>
                <w:color w:val="0070C0"/>
                <w:sz w:val="22"/>
                <w:szCs w:val="22"/>
              </w:rPr>
              <w:t xml:space="preserve"> 2852 hrsz.</w:t>
            </w:r>
          </w:p>
          <w:p w14:paraId="649A8807" w14:textId="796693B1" w:rsidR="002B4D49" w:rsidRDefault="002B4D49" w:rsidP="002B4D49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242D8647" w14:textId="37CF7A00" w:rsidR="0037484E" w:rsidRDefault="002B4D49" w:rsidP="002B4D49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proofErr w:type="spellStart"/>
            <w:r w:rsidRPr="00C65AA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NUTS-kód</w:t>
            </w:r>
            <w:proofErr w:type="spellEnd"/>
            <w:r w:rsidRPr="00C65AA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: 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HU32</w:t>
            </w:r>
            <w:r w:rsidR="003D501F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3</w:t>
            </w:r>
          </w:p>
          <w:p w14:paraId="5AB9F779" w14:textId="53E8C72A" w:rsidR="002B4D49" w:rsidRPr="002B4D49" w:rsidRDefault="002B4D49" w:rsidP="002B4D49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</w:tc>
      </w:tr>
      <w:tr w:rsidR="0037484E" w:rsidRPr="007A402F" w14:paraId="28D96B3C" w14:textId="77777777" w:rsidTr="00154189">
        <w:tc>
          <w:tcPr>
            <w:tcW w:w="9790" w:type="dxa"/>
            <w:gridSpan w:val="2"/>
            <w:shd w:val="clear" w:color="auto" w:fill="auto"/>
            <w:hideMark/>
          </w:tcPr>
          <w:p w14:paraId="5F31E019" w14:textId="5BB19C93" w:rsidR="0037484E" w:rsidRPr="00FA140D" w:rsidRDefault="0037484E" w:rsidP="00846281">
            <w:pPr>
              <w:spacing w:before="120" w:after="120"/>
              <w:jc w:val="left"/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 w:rsidRPr="00FA140D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II.2.4) </w:t>
            </w:r>
            <w:proofErr w:type="gramStart"/>
            <w:r w:rsidRPr="00FA140D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A</w:t>
            </w:r>
            <w:proofErr w:type="gramEnd"/>
            <w:r w:rsidRPr="00FA140D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közbeszerzés mennyisége:  </w:t>
            </w:r>
          </w:p>
          <w:p w14:paraId="121E33A9" w14:textId="77777777" w:rsidR="003D501F" w:rsidRPr="00141326" w:rsidRDefault="003D501F" w:rsidP="003D501F">
            <w:pPr>
              <w:pStyle w:val="Jegyzetszveg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14132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Az eljárás során az alábbi építési feladatok lefolytatására kerül sor:</w:t>
            </w:r>
          </w:p>
          <w:p w14:paraId="32C7E9E1" w14:textId="77777777" w:rsidR="004D1A9A" w:rsidRPr="00731126" w:rsidRDefault="004D1A9A" w:rsidP="004D1A9A">
            <w:pPr>
              <w:autoSpaceDE w:val="0"/>
              <w:autoSpaceDN w:val="0"/>
              <w:adjustRightInd w:val="0"/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</w:pP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A meglévő központi orvosi rendelő bővítése 220 m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  <w:vertAlign w:val="superscript"/>
              </w:rPr>
              <w:t>2</w:t>
            </w: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 xml:space="preserve"> nettó alapterületű emeletes épületszárny építésével a részi épületszárny elbontásával, valamint az épület működéséhez szükséges parkolók kialakítása és területrendezés is megvalósul a meglévő garázsok elbontásával.</w:t>
            </w:r>
          </w:p>
          <w:p w14:paraId="3A641B27" w14:textId="77777777" w:rsidR="004D1A9A" w:rsidRPr="00731126" w:rsidRDefault="004D1A9A" w:rsidP="004D1A9A">
            <w:pPr>
              <w:autoSpaceDE w:val="0"/>
              <w:autoSpaceDN w:val="0"/>
              <w:adjustRightInd w:val="0"/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</w:pPr>
            <w:r w:rsidRPr="00731126">
              <w:rPr>
                <w:rFonts w:ascii="Tahoma-OneByteIdentityH" w:eastAsiaTheme="minorHAnsi" w:hAnsi="Tahoma-OneByteIdentityH" w:cs="Tahoma-OneByteIdentityH"/>
                <w:color w:val="4472C4" w:themeColor="accent1"/>
                <w:sz w:val="22"/>
                <w:szCs w:val="22"/>
              </w:rPr>
              <w:t>A bővítmény földszintjén kerül kialakításra egy mentési pont, ügyeleti garázs, labor és a lift, míg az emeleti részen pedig kialakításra kerülnek a vizesblokkok és két körzeti orvosi rendelő váróval együtt, úgy hogy a földszinten is és az emeleten is összenyitásra kerül a meglévő orvosi rendelő épülettel.</w:t>
            </w:r>
          </w:p>
          <w:p w14:paraId="2D728CC6" w14:textId="77777777" w:rsidR="004D1A9A" w:rsidRPr="00731126" w:rsidRDefault="004D1A9A" w:rsidP="004D1A9A">
            <w:pPr>
              <w:pStyle w:val="Jegyzetszveg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Főbb építési mennyiségek:</w:t>
            </w:r>
          </w:p>
          <w:p w14:paraId="1E8F4719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Földmunka összesen: 175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3</w:t>
            </w:r>
          </w:p>
          <w:p w14:paraId="79A74246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Síkalapozás összesen: 75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3</w:t>
            </w:r>
          </w:p>
          <w:p w14:paraId="20A6807A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Betonacél szerelés összesen: 8,352 t</w:t>
            </w:r>
          </w:p>
          <w:p w14:paraId="2E9B8457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Helyszíni betonozás összesen: 58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3</w:t>
            </w:r>
          </w:p>
          <w:p w14:paraId="1F30C40A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proofErr w:type="spell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Előregyártott</w:t>
            </w:r>
            <w:proofErr w:type="spellEnd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szerkezetek: - nyílásáthidaló összesen: 51 db</w:t>
            </w:r>
          </w:p>
          <w:p w14:paraId="2CDD8395" w14:textId="77777777" w:rsidR="004D1A9A" w:rsidRPr="00731126" w:rsidRDefault="004D1A9A" w:rsidP="004D1A9A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lastRenderedPageBreak/>
              <w:t xml:space="preserve">                                          - födémgerenda összesen: 92 db</w:t>
            </w:r>
          </w:p>
          <w:p w14:paraId="490DBDB3" w14:textId="77777777" w:rsidR="004D1A9A" w:rsidRPr="00731126" w:rsidRDefault="004D1A9A" w:rsidP="004D1A9A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                                         - béléstest összesen: 196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2F335C50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Teherhordó és kitöltő falazat készítése összesen: 265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60692C32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Válaszfal építése összesen: 210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3DD170C7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Belső vakolási munkák összesen: 980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26E04A60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Lábazati </w:t>
            </w:r>
            <w:proofErr w:type="gram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vakolat készítés</w:t>
            </w:r>
            <w:proofErr w:type="gramEnd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összesen: 10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059214AD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Homlokzati vakolat összesen: 295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502FF57B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Burkolatok összesen: 615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+ 63 </w:t>
            </w:r>
            <w:proofErr w:type="spell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fm</w:t>
            </w:r>
            <w:proofErr w:type="spellEnd"/>
          </w:p>
          <w:p w14:paraId="5AE95835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Bádogozási munkálatok összesen: 147 m + 8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44E9D201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Nyílászárók: - fa nyílászáró összesen: 24 db</w:t>
            </w:r>
          </w:p>
          <w:p w14:paraId="592A47A7" w14:textId="77777777" w:rsidR="004D1A9A" w:rsidRPr="00731126" w:rsidRDefault="004D1A9A" w:rsidP="004D1A9A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                   - műanyag nyílászáró összesen: 35 db</w:t>
            </w:r>
          </w:p>
          <w:p w14:paraId="460BC2F6" w14:textId="77777777" w:rsidR="004D1A9A" w:rsidRPr="00731126" w:rsidRDefault="004D1A9A" w:rsidP="004D1A9A">
            <w:pPr>
              <w:pStyle w:val="Jegyzetszveg"/>
              <w:ind w:left="720"/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                   - füstelvezető nyílászáró összesen: 5 db</w:t>
            </w:r>
          </w:p>
          <w:p w14:paraId="4C43236B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Belső festés összesen: 1400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46B2A7B9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Szigetelési munkák (talajnedvesség, csapadékvíz, hő, hang, stb.) összesen: 1700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4ED9349B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Térburkolat készítése összesen: 50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7DC3F453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proofErr w:type="gramStart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Fűtőtest szerelés</w:t>
            </w:r>
            <w:proofErr w:type="gramEnd"/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 xml:space="preserve"> összesen: 53 db</w:t>
            </w:r>
          </w:p>
          <w:p w14:paraId="61810212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Kazán: 1 db</w:t>
            </w:r>
          </w:p>
          <w:p w14:paraId="2D39585D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Lámpatestek összesen: 129 db</w:t>
            </w:r>
          </w:p>
          <w:p w14:paraId="0BFFA9E0" w14:textId="77777777" w:rsidR="004D1A9A" w:rsidRPr="00731126" w:rsidRDefault="004D1A9A" w:rsidP="004D1A9A">
            <w:pPr>
              <w:pStyle w:val="Jegyzetszveg"/>
              <w:numPr>
                <w:ilvl w:val="0"/>
                <w:numId w:val="14"/>
              </w:numPr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</w:pP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</w:rPr>
              <w:t>Útépítési munka, betonkő burkolat készítése összesen: 580 m</w:t>
            </w:r>
            <w:r w:rsidRPr="00731126">
              <w:rPr>
                <w:rFonts w:ascii="Helvetica" w:hAnsi="Helvetica" w:cs="Helvetica"/>
                <w:color w:val="4472C4" w:themeColor="accent1"/>
                <w:sz w:val="21"/>
                <w:szCs w:val="21"/>
                <w:shd w:val="clear" w:color="auto" w:fill="FFFFFF"/>
                <w:vertAlign w:val="superscript"/>
              </w:rPr>
              <w:t>2</w:t>
            </w:r>
          </w:p>
          <w:p w14:paraId="2490A5EB" w14:textId="77777777" w:rsidR="003D501F" w:rsidRDefault="003D501F" w:rsidP="003D501F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5C39DBC5" w14:textId="77777777" w:rsidR="003D501F" w:rsidRPr="00D76459" w:rsidRDefault="003D501F" w:rsidP="003D501F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D76459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 részletes műszaki leírást a közbeszerzési dokumentáció tartalmazza.</w:t>
            </w:r>
          </w:p>
          <w:p w14:paraId="32B105A2" w14:textId="77777777" w:rsidR="003D501F" w:rsidRPr="00D76459" w:rsidRDefault="003D501F" w:rsidP="003D501F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3DD199E6" w14:textId="4C31F55D" w:rsidR="002E218B" w:rsidRPr="00104680" w:rsidRDefault="003D501F" w:rsidP="003D501F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D76459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Ajánlatkérő felhívja a figyelmet a 321/2015. (X.30) Korm. rendelet 46. § (3) bekezdésében foglaltakra.</w:t>
            </w:r>
          </w:p>
          <w:p w14:paraId="2D09EE0A" w14:textId="77777777" w:rsidR="002E218B" w:rsidRDefault="002E218B" w:rsidP="00293315">
            <w:pPr>
              <w:pStyle w:val="Nincstrkz"/>
              <w:rPr>
                <w:shd w:val="clear" w:color="auto" w:fill="FFFFFF"/>
              </w:rPr>
            </w:pPr>
          </w:p>
          <w:p w14:paraId="014756CB" w14:textId="339EBEA3" w:rsidR="0037484E" w:rsidRPr="00154189" w:rsidRDefault="002E218B" w:rsidP="002E218B">
            <w:pPr>
              <w:spacing w:before="120" w:after="12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154189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="0037484E" w:rsidRPr="00154189">
              <w:rPr>
                <w:rFonts w:eastAsia="Times New Roman"/>
                <w:sz w:val="22"/>
                <w:szCs w:val="22"/>
                <w:lang w:eastAsia="hu-HU"/>
              </w:rPr>
              <w:t>(az építési beruházás, árubeszerzés vagy szolgáltatás jellege és mennyisége, illetve az igények és követelmények meghatározása)</w:t>
            </w:r>
          </w:p>
        </w:tc>
      </w:tr>
      <w:tr w:rsidR="0037484E" w:rsidRPr="007A402F" w14:paraId="7A0ED443" w14:textId="77777777" w:rsidTr="00154189">
        <w:tc>
          <w:tcPr>
            <w:tcW w:w="9790" w:type="dxa"/>
            <w:gridSpan w:val="2"/>
            <w:hideMark/>
          </w:tcPr>
          <w:p w14:paraId="37F3AD32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lastRenderedPageBreak/>
              <w:t>II.2.5) Értékelési szempontok</w:t>
            </w:r>
          </w:p>
          <w:p w14:paraId="1A4838B0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X Az alábbi értékelési szempontok</w:t>
            </w:r>
          </w:p>
          <w:p w14:paraId="5FB367BD" w14:textId="77777777" w:rsidR="0037484E" w:rsidRPr="007A402F" w:rsidRDefault="0037484E" w:rsidP="00846281">
            <w:pPr>
              <w:spacing w:before="120" w:after="120"/>
              <w:ind w:left="180"/>
              <w:jc w:val="left"/>
              <w:rPr>
                <w:sz w:val="22"/>
                <w:szCs w:val="22"/>
                <w:shd w:val="clear" w:color="auto" w:fill="FFFFFF"/>
              </w:rPr>
            </w:pPr>
            <w:r w:rsidRPr="00F4690A">
              <w:rPr>
                <w:rFonts w:ascii="Helvetica" w:hAnsi="Helvetica" w:cs="Helvetica"/>
                <w:b/>
                <w:color w:val="336699"/>
                <w:sz w:val="21"/>
                <w:szCs w:val="21"/>
                <w:shd w:val="clear" w:color="auto" w:fill="FFFFFF"/>
              </w:rPr>
              <w:t>X Minőségi szempont</w:t>
            </w:r>
            <w:r w:rsidRPr="007A402F">
              <w:rPr>
                <w:sz w:val="22"/>
                <w:szCs w:val="22"/>
                <w:shd w:val="clear" w:color="auto" w:fill="FFFFFF"/>
              </w:rPr>
              <w:t xml:space="preserve"> – Megnevezés: / Súlyszám:</w:t>
            </w:r>
          </w:p>
          <w:p w14:paraId="792B43F4" w14:textId="075A943B" w:rsidR="00D25D65" w:rsidRDefault="00D25D65" w:rsidP="00D25D65">
            <w:pPr>
              <w:spacing w:before="120" w:after="120"/>
              <w:ind w:left="190"/>
              <w:rPr>
                <w:rFonts w:ascii="Helvetica" w:hAnsi="Helvetica" w:cs="Helvetica"/>
                <w:b/>
                <w:color w:val="336699"/>
                <w:sz w:val="21"/>
                <w:szCs w:val="21"/>
                <w:shd w:val="clear" w:color="auto" w:fill="FFFFFF"/>
              </w:rPr>
            </w:pPr>
            <w:r w:rsidRPr="00F4690A">
              <w:rPr>
                <w:rFonts w:ascii="Helvetica" w:hAnsi="Helvetica" w:cs="Helvetica"/>
                <w:b/>
                <w:color w:val="336699"/>
                <w:sz w:val="21"/>
                <w:szCs w:val="21"/>
                <w:shd w:val="clear" w:color="auto" w:fill="FFFFFF"/>
              </w:rPr>
              <w:t xml:space="preserve">2.) </w:t>
            </w:r>
            <w:r>
              <w:rPr>
                <w:rFonts w:ascii="Helvetica" w:hAnsi="Helvetica" w:cs="Helvetica"/>
                <w:b/>
                <w:color w:val="336699"/>
                <w:sz w:val="21"/>
                <w:szCs w:val="21"/>
                <w:shd w:val="clear" w:color="auto" w:fill="FFFFFF"/>
              </w:rPr>
              <w:t xml:space="preserve">Környezetvédelmi szempontok </w:t>
            </w:r>
            <w:r w:rsidRPr="00B920D7">
              <w:rPr>
                <w:rFonts w:ascii="Helvetica" w:hAnsi="Helvetica" w:cs="Helvetica"/>
                <w:bCs/>
                <w:color w:val="336699"/>
                <w:sz w:val="21"/>
                <w:szCs w:val="21"/>
                <w:shd w:val="clear" w:color="auto" w:fill="FFFFFF"/>
              </w:rPr>
              <w:t>(szakmai ajánlat)</w:t>
            </w:r>
            <w:r w:rsidR="00D263CA">
              <w:rPr>
                <w:rFonts w:ascii="Helvetica" w:hAnsi="Helvetica" w:cs="Helvetica"/>
                <w:bCs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7A402F">
              <w:rPr>
                <w:sz w:val="22"/>
                <w:szCs w:val="22"/>
                <w:shd w:val="clear" w:color="auto" w:fill="FFFFFF"/>
              </w:rPr>
              <w:t xml:space="preserve">/ </w:t>
            </w:r>
            <w:r w:rsidRPr="00F4690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Súlyszám: 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</w:t>
            </w:r>
            <w:r w:rsidRPr="00F4690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</w:t>
            </w:r>
          </w:p>
          <w:tbl>
            <w:tblPr>
              <w:tblStyle w:val="Rcsostblzat"/>
              <w:tblW w:w="0" w:type="auto"/>
              <w:tblInd w:w="190" w:type="dxa"/>
              <w:tblLook w:val="04A0" w:firstRow="1" w:lastRow="0" w:firstColumn="1" w:lastColumn="0" w:noHBand="0" w:noVBand="1"/>
            </w:tblPr>
            <w:tblGrid>
              <w:gridCol w:w="4778"/>
              <w:gridCol w:w="4782"/>
            </w:tblGrid>
            <w:tr w:rsidR="00D25D65" w14:paraId="19FCAF4A" w14:textId="77777777" w:rsidTr="00846281">
              <w:tc>
                <w:tcPr>
                  <w:tcW w:w="4780" w:type="dxa"/>
                  <w:shd w:val="clear" w:color="auto" w:fill="A8D08D" w:themeFill="accent6" w:themeFillTint="99"/>
                </w:tcPr>
                <w:p w14:paraId="0BDAD20B" w14:textId="77777777" w:rsidR="00D25D65" w:rsidRDefault="00D25D65" w:rsidP="00D25D65">
                  <w:pPr>
                    <w:spacing w:before="120" w:after="120"/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</w:rPr>
                    <w:t>Vizsgálati elem</w:t>
                  </w:r>
                </w:p>
              </w:tc>
              <w:tc>
                <w:tcPr>
                  <w:tcW w:w="4785" w:type="dxa"/>
                  <w:shd w:val="clear" w:color="auto" w:fill="A8D08D" w:themeFill="accent6" w:themeFillTint="99"/>
                </w:tcPr>
                <w:p w14:paraId="64B8A0C6" w14:textId="77777777" w:rsidR="00D25D65" w:rsidRDefault="00D25D65" w:rsidP="00D25D65">
                  <w:pPr>
                    <w:spacing w:before="120" w:after="120"/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</w:rPr>
                    <w:t>Megajánlás</w:t>
                  </w:r>
                </w:p>
              </w:tc>
            </w:tr>
            <w:tr w:rsidR="00D25D65" w14:paraId="5B34BF77" w14:textId="77777777" w:rsidTr="00846281">
              <w:trPr>
                <w:trHeight w:val="1216"/>
              </w:trPr>
              <w:tc>
                <w:tcPr>
                  <w:tcW w:w="4780" w:type="dxa"/>
                  <w:vMerge w:val="restart"/>
                  <w:vAlign w:val="center"/>
                </w:tcPr>
                <w:p w14:paraId="0DDD57D1" w14:textId="77777777" w:rsidR="00D25D65" w:rsidRPr="006D4FEB" w:rsidRDefault="00D25D65" w:rsidP="00D25D65">
                  <w:pPr>
                    <w:pStyle w:val="Default"/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</w:pPr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 xml:space="preserve">Hulladékgazdálkodás, az érintett </w:t>
                  </w:r>
                </w:p>
                <w:p w14:paraId="7F7EADA9" w14:textId="77777777" w:rsidR="00D25D65" w:rsidRDefault="00D25D65" w:rsidP="00D25D65">
                  <w:pPr>
                    <w:pStyle w:val="Default"/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</w:pPr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 xml:space="preserve">közterület, településrész és a kivitelezés hulladékgazdálkodásának zavartalansága érdekében tett intézkedések </w:t>
                  </w:r>
                </w:p>
              </w:tc>
              <w:tc>
                <w:tcPr>
                  <w:tcW w:w="4785" w:type="dxa"/>
                  <w:vAlign w:val="center"/>
                </w:tcPr>
                <w:p w14:paraId="39D92A33" w14:textId="77777777" w:rsidR="00D25D65" w:rsidRDefault="00D25D65" w:rsidP="00473A1E">
                  <w:pPr>
                    <w:pStyle w:val="Default"/>
                    <w:jc w:val="both"/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</w:rPr>
                  </w:pPr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 xml:space="preserve">A munkaterületen nyertes </w:t>
                  </w:r>
                  <w:proofErr w:type="gramStart"/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>ajánlattevő</w:t>
                  </w:r>
                  <w:proofErr w:type="gramEnd"/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 xml:space="preserve"> ill. alvállalkozó által termelt kommunális hulladék szelektív gyűjtésének biztosítása </w:t>
                  </w:r>
                </w:p>
              </w:tc>
            </w:tr>
            <w:tr w:rsidR="00D25D65" w14:paraId="2264AB01" w14:textId="77777777" w:rsidTr="00846281">
              <w:tc>
                <w:tcPr>
                  <w:tcW w:w="4780" w:type="dxa"/>
                  <w:vMerge/>
                </w:tcPr>
                <w:p w14:paraId="11A22960" w14:textId="77777777" w:rsidR="00D25D65" w:rsidRDefault="00D25D65" w:rsidP="00D25D65">
                  <w:pPr>
                    <w:spacing w:before="120" w:after="120"/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4785" w:type="dxa"/>
                </w:tcPr>
                <w:p w14:paraId="151A05FE" w14:textId="77777777" w:rsidR="00D25D65" w:rsidRPr="006D4FEB" w:rsidRDefault="00D25D65" w:rsidP="00D25D65">
                  <w:pPr>
                    <w:pStyle w:val="Default"/>
                    <w:jc w:val="both"/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</w:pPr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 xml:space="preserve">Vállalja az esetlegesen keletkező veszélyes hulladékok tárolására alkalmas gyűjtő </w:t>
                  </w:r>
                  <w:proofErr w:type="spellStart"/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>edényzet</w:t>
                  </w:r>
                  <w:proofErr w:type="spellEnd"/>
                  <w:r w:rsidRPr="006D4FEB">
                    <w:rPr>
                      <w:rFonts w:ascii="Helvetica" w:hAnsi="Helvetica" w:cs="Helvetica"/>
                      <w:color w:val="336699"/>
                      <w:sz w:val="21"/>
                      <w:szCs w:val="21"/>
                      <w:shd w:val="clear" w:color="auto" w:fill="FFFFFF"/>
                      <w:lang w:eastAsia="en-US"/>
                    </w:rPr>
                    <w:t xml:space="preserve"> helyszínen tartását. </w:t>
                  </w:r>
                </w:p>
              </w:tc>
            </w:tr>
          </w:tbl>
          <w:p w14:paraId="6B9BDDB3" w14:textId="4729DD5D" w:rsidR="0037484E" w:rsidRPr="00C25D33" w:rsidRDefault="00C25D33" w:rsidP="00660F1A">
            <w:pPr>
              <w:spacing w:before="120" w:after="120"/>
              <w:ind w:left="180"/>
              <w:rPr>
                <w:color w:val="0070C0"/>
                <w:sz w:val="22"/>
                <w:szCs w:val="22"/>
                <w:shd w:val="clear" w:color="auto" w:fill="FFFFFF"/>
              </w:rPr>
            </w:pPr>
            <w:r w:rsidRPr="00C25D33">
              <w:rPr>
                <w:rFonts w:ascii="Helvetica" w:hAnsi="Helvetica" w:cs="Helvetica"/>
                <w:b/>
                <w:color w:val="0070C0"/>
                <w:sz w:val="21"/>
                <w:szCs w:val="21"/>
                <w:shd w:val="clear" w:color="auto" w:fill="FFFFFF"/>
              </w:rPr>
              <w:t xml:space="preserve">3.) </w:t>
            </w:r>
            <w:r w:rsidRPr="00C25D33">
              <w:rPr>
                <w:rFonts w:ascii="Helvetica" w:hAnsi="Helvetica" w:cs="Helvetica"/>
                <w:b/>
                <w:color w:val="0070C0"/>
                <w:sz w:val="21"/>
                <w:szCs w:val="21"/>
              </w:rPr>
              <w:t>Szerződés teljesítésében részt vevő MV-É jogosultsággal vagy annak megszerzéséhez szükséges szakmai tapasztalattal rendelkező műszaki vezető szakember felelős műszaki vezetői szakmai tapasztalata</w:t>
            </w:r>
            <w:r w:rsidRPr="00C25D33">
              <w:rPr>
                <w:rFonts w:ascii="Helvetica" w:hAnsi="Helvetica" w:cs="Helvetica"/>
                <w:color w:val="0070C0"/>
                <w:sz w:val="21"/>
                <w:szCs w:val="21"/>
              </w:rPr>
              <w:t xml:space="preserve"> (min. 0 </w:t>
            </w:r>
            <w:proofErr w:type="spellStart"/>
            <w:r w:rsidRPr="00C25D33">
              <w:rPr>
                <w:rFonts w:ascii="Helvetica" w:hAnsi="Helvetica" w:cs="Helvetica"/>
                <w:color w:val="0070C0"/>
                <w:sz w:val="21"/>
                <w:szCs w:val="21"/>
              </w:rPr>
              <w:t>max</w:t>
            </w:r>
            <w:proofErr w:type="spellEnd"/>
            <w:r w:rsidRPr="00C25D33">
              <w:rPr>
                <w:rFonts w:ascii="Helvetica" w:hAnsi="Helvetica" w:cs="Helvetica"/>
                <w:color w:val="0070C0"/>
                <w:sz w:val="21"/>
                <w:szCs w:val="21"/>
              </w:rPr>
              <w:t>. 24 hónap)</w:t>
            </w:r>
            <w:r w:rsidRPr="00C25D33">
              <w:rPr>
                <w:rFonts w:ascii="Helvetica" w:hAnsi="Helvetica" w:cs="Helvetica"/>
                <w:color w:val="0070C0"/>
                <w:sz w:val="21"/>
                <w:szCs w:val="21"/>
                <w:shd w:val="clear" w:color="auto" w:fill="FFFFFF"/>
              </w:rPr>
              <w:t xml:space="preserve"> 20</w:t>
            </w:r>
          </w:p>
          <w:p w14:paraId="5594FC4F" w14:textId="53547CDE" w:rsidR="0037484E" w:rsidRPr="007A402F" w:rsidRDefault="0037484E" w:rsidP="00846281">
            <w:pPr>
              <w:spacing w:before="120" w:after="120"/>
              <w:ind w:left="1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 Költség szempont – Megnevezés: / Súlyszám: </w:t>
            </w:r>
            <w:r w:rsidR="00E46AD9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</w:p>
          <w:p w14:paraId="4FA04C46" w14:textId="77777777" w:rsidR="0037484E" w:rsidRDefault="0037484E" w:rsidP="00846281">
            <w:pPr>
              <w:spacing w:before="120" w:after="120"/>
              <w:ind w:left="180"/>
              <w:rPr>
                <w:sz w:val="22"/>
                <w:szCs w:val="22"/>
              </w:rPr>
            </w:pPr>
            <w:r w:rsidRPr="00F4690A">
              <w:rPr>
                <w:rFonts w:ascii="Helvetica" w:hAnsi="Helvetica" w:cs="Helvetica"/>
                <w:b/>
                <w:color w:val="336699"/>
                <w:sz w:val="21"/>
                <w:szCs w:val="21"/>
                <w:shd w:val="clear" w:color="auto" w:fill="FFFFFF"/>
              </w:rPr>
              <w:t>X Ár szempont</w:t>
            </w:r>
            <w:r w:rsidRPr="007A402F">
              <w:rPr>
                <w:sz w:val="22"/>
                <w:szCs w:val="22"/>
                <w:shd w:val="clear" w:color="auto" w:fill="FFFFFF"/>
              </w:rPr>
              <w:t xml:space="preserve"> – Megnevezés:</w:t>
            </w:r>
            <w:r w:rsidRPr="007A402F">
              <w:rPr>
                <w:sz w:val="22"/>
                <w:szCs w:val="22"/>
              </w:rPr>
              <w:t xml:space="preserve"> </w:t>
            </w:r>
          </w:p>
          <w:p w14:paraId="539AF0A5" w14:textId="77777777" w:rsidR="0037484E" w:rsidRPr="007A402F" w:rsidRDefault="0037484E" w:rsidP="00846281">
            <w:pPr>
              <w:spacing w:before="120" w:after="120"/>
              <w:ind w:left="180"/>
              <w:rPr>
                <w:rFonts w:eastAsia="Times New Roman"/>
                <w:sz w:val="22"/>
                <w:szCs w:val="22"/>
                <w:lang w:eastAsia="hu-HU"/>
              </w:rPr>
            </w:pPr>
            <w:r w:rsidRPr="00F4690A">
              <w:rPr>
                <w:rFonts w:ascii="Helvetica" w:hAnsi="Helvetica" w:cs="Helvetica"/>
                <w:b/>
                <w:color w:val="336699"/>
                <w:sz w:val="21"/>
                <w:szCs w:val="21"/>
                <w:shd w:val="clear" w:color="auto" w:fill="FFFFFF"/>
              </w:rPr>
              <w:t>1.) Teljes nettó vállalkozói díj (a teljes építési beruházásra vonatkozó, - általános forgalmi adó nélkül számított - vállalkozói díj HUF-ban kifejezve)</w:t>
            </w:r>
            <w:r w:rsidRPr="007A402F">
              <w:rPr>
                <w:sz w:val="22"/>
                <w:szCs w:val="22"/>
                <w:shd w:val="clear" w:color="auto" w:fill="FFFFFF"/>
              </w:rPr>
              <w:t xml:space="preserve"> / </w:t>
            </w:r>
            <w:r w:rsidRPr="00F4690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Súlyszám: 70</w:t>
            </w:r>
          </w:p>
        </w:tc>
      </w:tr>
      <w:tr w:rsidR="0037484E" w:rsidRPr="007A402F" w14:paraId="62ED85F0" w14:textId="77777777" w:rsidTr="00154189">
        <w:tc>
          <w:tcPr>
            <w:tcW w:w="9790" w:type="dxa"/>
            <w:gridSpan w:val="2"/>
            <w:shd w:val="clear" w:color="auto" w:fill="auto"/>
            <w:hideMark/>
          </w:tcPr>
          <w:p w14:paraId="25F204E1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II.2.6) Becsült érték: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2</w:t>
            </w:r>
          </w:p>
          <w:p w14:paraId="50B1ED00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Érték ÁFA nélkül: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Pénznem: [ ][ ][ ]</w:t>
            </w:r>
          </w:p>
          <w:p w14:paraId="54DDFADB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</w:t>
            </w:r>
            <w:proofErr w:type="spellStart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keretmegállapodás</w:t>
            </w:r>
            <w:proofErr w:type="spellEnd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 xml:space="preserve"> vagy dinamikus beszerzési rendszer esetében ennek a résznek a </w:t>
            </w:r>
            <w:proofErr w:type="spellStart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keretmegállapodás</w:t>
            </w:r>
            <w:proofErr w:type="spellEnd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 xml:space="preserve"> vagy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lastRenderedPageBreak/>
              <w:t>dinamikus beszerzési rendszer teljes időtartamára vonatkozó becsült összértéke)</w:t>
            </w:r>
          </w:p>
        </w:tc>
      </w:tr>
      <w:tr w:rsidR="0037484E" w:rsidRPr="007A402F" w14:paraId="0A4A9FFD" w14:textId="77777777" w:rsidTr="005E2577">
        <w:tc>
          <w:tcPr>
            <w:tcW w:w="9790" w:type="dxa"/>
            <w:gridSpan w:val="2"/>
            <w:shd w:val="clear" w:color="auto" w:fill="auto"/>
            <w:hideMark/>
          </w:tcPr>
          <w:p w14:paraId="4D3834FC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lastRenderedPageBreak/>
              <w:t xml:space="preserve">II.2.7) </w:t>
            </w:r>
            <w:proofErr w:type="gram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A</w:t>
            </w:r>
            <w:proofErr w:type="gram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szerződés, </w:t>
            </w:r>
            <w:proofErr w:type="spell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keretmegállapodás</w:t>
            </w:r>
            <w:proofErr w:type="spell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vagy dinamikus beszerzési rendszer időtartama </w:t>
            </w:r>
          </w:p>
          <w:p w14:paraId="00557780" w14:textId="17B01FCD" w:rsidR="0037484E" w:rsidRPr="005E2577" w:rsidRDefault="0037484E" w:rsidP="005E2577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5E2577">
              <w:rPr>
                <w:rFonts w:eastAsia="Times New Roman"/>
                <w:sz w:val="22"/>
                <w:szCs w:val="22"/>
                <w:lang w:eastAsia="hu-HU"/>
              </w:rPr>
              <w:t>Időtartam hónapban</w:t>
            </w:r>
            <w:proofErr w:type="gramStart"/>
            <w:r w:rsidRPr="005E2577">
              <w:rPr>
                <w:rFonts w:eastAsia="Times New Roman"/>
                <w:sz w:val="22"/>
                <w:szCs w:val="22"/>
                <w:lang w:eastAsia="hu-HU"/>
              </w:rPr>
              <w:t xml:space="preserve">: </w:t>
            </w:r>
            <w:r w:rsidR="00141326">
              <w:rPr>
                <w:rFonts w:eastAsia="Times New Roman"/>
                <w:sz w:val="22"/>
                <w:szCs w:val="22"/>
                <w:lang w:eastAsia="hu-HU"/>
              </w:rPr>
              <w:t xml:space="preserve">   </w:t>
            </w:r>
            <w:r w:rsidR="00525C41">
              <w:rPr>
                <w:rFonts w:eastAsia="Times New Roman"/>
                <w:sz w:val="22"/>
                <w:szCs w:val="22"/>
                <w:lang w:eastAsia="hu-HU"/>
              </w:rPr>
              <w:t xml:space="preserve">     </w:t>
            </w:r>
            <w:r w:rsidRPr="005E2577">
              <w:rPr>
                <w:rFonts w:eastAsia="Times New Roman"/>
                <w:sz w:val="22"/>
                <w:szCs w:val="22"/>
                <w:lang w:eastAsia="hu-HU"/>
              </w:rPr>
              <w:t>vagy</w:t>
            </w:r>
            <w:proofErr w:type="gramEnd"/>
            <w:r w:rsidRPr="005E2577">
              <w:rPr>
                <w:rFonts w:eastAsia="Times New Roman"/>
                <w:sz w:val="22"/>
                <w:szCs w:val="22"/>
                <w:lang w:eastAsia="hu-HU"/>
              </w:rPr>
              <w:t xml:space="preserve"> napban: </w:t>
            </w:r>
          </w:p>
          <w:p w14:paraId="69D615B5" w14:textId="77777777" w:rsidR="0037484E" w:rsidRPr="005E2577" w:rsidRDefault="0037484E" w:rsidP="005E2577">
            <w:pPr>
              <w:spacing w:before="120" w:after="120"/>
              <w:jc w:val="left"/>
              <w:rPr>
                <w:rFonts w:eastAsia="Times New Roman"/>
                <w:sz w:val="22"/>
                <w:szCs w:val="22"/>
              </w:rPr>
            </w:pPr>
            <w:r w:rsidRPr="005E2577">
              <w:rPr>
                <w:rFonts w:eastAsia="Times New Roman"/>
                <w:sz w:val="22"/>
                <w:szCs w:val="22"/>
                <w:lang w:eastAsia="hu-HU"/>
              </w:rPr>
              <w:t>vagy</w:t>
            </w:r>
          </w:p>
          <w:p w14:paraId="550BA10A" w14:textId="68CD700A" w:rsidR="0037484E" w:rsidRPr="005E2577" w:rsidRDefault="0037484E" w:rsidP="005E2577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5E2577">
              <w:rPr>
                <w:rFonts w:eastAsia="Times New Roman"/>
                <w:sz w:val="22"/>
                <w:szCs w:val="22"/>
                <w:lang w:eastAsia="hu-HU"/>
              </w:rPr>
              <w:t xml:space="preserve">a teljesítés határideje: </w:t>
            </w:r>
            <w:r w:rsidR="00525C41" w:rsidRPr="00731126">
              <w:rPr>
                <w:rFonts w:eastAsia="Times New Roman"/>
                <w:color w:val="0070C0"/>
                <w:sz w:val="22"/>
                <w:szCs w:val="22"/>
                <w:lang w:eastAsia="hu-HU"/>
              </w:rPr>
              <w:t>2022. 12. 31.</w:t>
            </w:r>
          </w:p>
          <w:p w14:paraId="3A2DCE28" w14:textId="77777777" w:rsidR="0037484E" w:rsidRPr="007A402F" w:rsidRDefault="0037484E" w:rsidP="005E2577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5E2577">
              <w:rPr>
                <w:rFonts w:eastAsia="Times New Roman"/>
                <w:sz w:val="22"/>
                <w:szCs w:val="22"/>
                <w:lang w:eastAsia="hu-HU"/>
              </w:rPr>
              <w:t xml:space="preserve">A szerződés meghosszabbítható </w:t>
            </w:r>
            <w:r w:rsidRPr="005E2577">
              <w:rPr>
                <w:rFonts w:eastAsia="Times New Roman"/>
                <w:sz w:val="22"/>
                <w:szCs w:val="22"/>
                <w:lang w:eastAsia="hu-HU"/>
              </w:rPr>
              <w:t xml:space="preserve"> igen </w:t>
            </w:r>
            <w:r w:rsidRPr="004D258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 nem</w:t>
            </w:r>
            <w:r w:rsidRPr="005E2577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proofErr w:type="gramStart"/>
            <w:r w:rsidRPr="005E2577">
              <w:rPr>
                <w:rFonts w:eastAsia="Times New Roman"/>
                <w:sz w:val="22"/>
                <w:szCs w:val="22"/>
                <w:lang w:eastAsia="hu-HU"/>
              </w:rPr>
              <w:t>A</w:t>
            </w:r>
            <w:proofErr w:type="gramEnd"/>
            <w:r w:rsidRPr="005E2577">
              <w:rPr>
                <w:rFonts w:eastAsia="Times New Roman"/>
                <w:sz w:val="22"/>
                <w:szCs w:val="22"/>
                <w:lang w:eastAsia="hu-HU"/>
              </w:rPr>
              <w:t xml:space="preserve"> meghosszabbítás leírása:</w:t>
            </w:r>
          </w:p>
        </w:tc>
      </w:tr>
      <w:tr w:rsidR="0037484E" w:rsidRPr="007A402F" w14:paraId="59E27225" w14:textId="77777777" w:rsidTr="00154189">
        <w:tc>
          <w:tcPr>
            <w:tcW w:w="9790" w:type="dxa"/>
            <w:gridSpan w:val="2"/>
            <w:hideMark/>
          </w:tcPr>
          <w:p w14:paraId="6BE85D03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II.2.8) Az ajánlattételre vagy részvételre felhívandó gazdasági szereplők számának korlátozására vonatkozó információ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(nyílt eljárás kivételével)</w:t>
            </w:r>
          </w:p>
          <w:p w14:paraId="4C452D75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A gazdasági szereplők tervezett száma (keretszáma):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</w:p>
          <w:p w14:paraId="14EDB49A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vagy</w:t>
            </w:r>
          </w:p>
          <w:p w14:paraId="7E363C47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Tervezett minimum: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/ Maximális szám: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2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[ ]</w:t>
            </w:r>
          </w:p>
          <w:p w14:paraId="01B362D0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A jelentkezők számának korlátozására vonatkozó objektív szempontok:</w:t>
            </w:r>
          </w:p>
        </w:tc>
      </w:tr>
      <w:tr w:rsidR="0037484E" w:rsidRPr="007A402F" w14:paraId="156D0E71" w14:textId="77777777" w:rsidTr="00154189">
        <w:tc>
          <w:tcPr>
            <w:tcW w:w="9790" w:type="dxa"/>
            <w:gridSpan w:val="2"/>
            <w:hideMark/>
          </w:tcPr>
          <w:p w14:paraId="5F41D234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II.2.9) Változatokra (alternatív ajánlatokra) vonatkozó információk</w:t>
            </w:r>
          </w:p>
          <w:p w14:paraId="7B2A00C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Elfogadhatók változatok (alternatív ajánlatok)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 igen </w:t>
            </w:r>
            <w:r w:rsidRPr="00AC1AF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 nem</w:t>
            </w:r>
          </w:p>
        </w:tc>
      </w:tr>
      <w:tr w:rsidR="0037484E" w:rsidRPr="007A402F" w14:paraId="752E9C2E" w14:textId="77777777" w:rsidTr="00154189">
        <w:tc>
          <w:tcPr>
            <w:tcW w:w="9790" w:type="dxa"/>
            <w:gridSpan w:val="2"/>
            <w:hideMark/>
          </w:tcPr>
          <w:p w14:paraId="13CFBC6D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II.2.10) Opciókra vonatkozó információ</w:t>
            </w:r>
          </w:p>
          <w:p w14:paraId="237C5DFE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Opciók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 igen </w:t>
            </w:r>
            <w:r w:rsidRPr="00AC1AF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 nem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Opciók leírása:</w:t>
            </w:r>
          </w:p>
        </w:tc>
      </w:tr>
      <w:tr w:rsidR="0037484E" w:rsidRPr="007A402F" w14:paraId="27B4851F" w14:textId="77777777" w:rsidTr="00154189">
        <w:tc>
          <w:tcPr>
            <w:tcW w:w="9790" w:type="dxa"/>
            <w:gridSpan w:val="2"/>
            <w:hideMark/>
          </w:tcPr>
          <w:p w14:paraId="182A98C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II.2.11) Információ az elektronikus katalógusokról</w:t>
            </w:r>
          </w:p>
          <w:p w14:paraId="3534051A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Az ajánlatokat elektronikus katalógus formájában kell benyújtani, vagy azoknak elektronikus katalógust kell tartalmazniuk</w:t>
            </w:r>
          </w:p>
        </w:tc>
      </w:tr>
      <w:tr w:rsidR="0037484E" w:rsidRPr="007A402F" w14:paraId="5ACE1F50" w14:textId="77777777" w:rsidTr="00154189">
        <w:tc>
          <w:tcPr>
            <w:tcW w:w="9790" w:type="dxa"/>
            <w:gridSpan w:val="2"/>
            <w:hideMark/>
          </w:tcPr>
          <w:p w14:paraId="5363C576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II.2.12) Európai uniós alapokra vonatkozó információk</w:t>
            </w:r>
          </w:p>
          <w:p w14:paraId="359B197B" w14:textId="0D832D58" w:rsidR="0037484E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A közbeszerzés európai uniós alapokból finanszírozott projekttel és/vagy programmal kapcsolatos </w:t>
            </w:r>
            <w:r w:rsidR="00FA140D" w:rsidRPr="007A402F">
              <w:rPr>
                <w:rFonts w:eastAsia="Times New Roman"/>
                <w:sz w:val="22"/>
                <w:szCs w:val="22"/>
                <w:lang w:eastAsia="hu-HU"/>
              </w:rPr>
              <w:t>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FA140D">
              <w:rPr>
                <w:rFonts w:eastAsia="Times New Roman"/>
                <w:sz w:val="22"/>
                <w:szCs w:val="22"/>
                <w:lang w:eastAsia="hu-HU"/>
              </w:rPr>
              <w:t xml:space="preserve">igen </w:t>
            </w:r>
          </w:p>
          <w:p w14:paraId="3A60C3F6" w14:textId="63B653EE" w:rsidR="00AB289E" w:rsidRDefault="00FA140D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AC1AF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</w:t>
            </w:r>
            <w:r w:rsidR="0037484E" w:rsidRPr="00AC1AF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="0037484E" w:rsidRPr="00FA140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nem</w:t>
            </w:r>
            <w:r w:rsidR="0037484E"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</w:p>
          <w:p w14:paraId="1A2D66D1" w14:textId="5456B2ED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Projekt száma vagy hivatkozási száma:</w:t>
            </w:r>
            <w:r w:rsidRPr="007A402F">
              <w:rPr>
                <w:sz w:val="22"/>
                <w:szCs w:val="22"/>
              </w:rPr>
              <w:t xml:space="preserve"> </w:t>
            </w:r>
          </w:p>
        </w:tc>
      </w:tr>
      <w:tr w:rsidR="0037484E" w:rsidRPr="007A402F" w14:paraId="4089985C" w14:textId="77777777" w:rsidTr="00154189">
        <w:tc>
          <w:tcPr>
            <w:tcW w:w="9790" w:type="dxa"/>
            <w:gridSpan w:val="2"/>
            <w:hideMark/>
          </w:tcPr>
          <w:p w14:paraId="13FB59F8" w14:textId="77777777" w:rsidR="00362A2C" w:rsidRDefault="0037484E" w:rsidP="00846281">
            <w:pPr>
              <w:spacing w:before="120" w:after="120"/>
              <w:jc w:val="left"/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II.2.13) További információ</w:t>
            </w:r>
            <w:r w:rsidR="00362A2C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</w:t>
            </w:r>
          </w:p>
          <w:p w14:paraId="488B9B3E" w14:textId="54E8A06C" w:rsidR="00731126" w:rsidRPr="00731126" w:rsidRDefault="00731126" w:rsidP="00731126">
            <w:pPr>
              <w:autoSpaceDE w:val="0"/>
              <w:autoSpaceDN w:val="0"/>
              <w:adjustRightInd w:val="0"/>
              <w:rPr>
                <w:rFonts w:ascii="Garamond" w:eastAsia="DejaVuSerif" w:hAnsi="Garamond" w:cs="DejaVuSerif"/>
                <w:color w:val="0070C0"/>
                <w:sz w:val="22"/>
                <w:szCs w:val="22"/>
              </w:rPr>
            </w:pPr>
            <w:r w:rsidRPr="00C25D33">
              <w:rPr>
                <w:rFonts w:ascii="Garamond" w:hAnsi="Garamond"/>
                <w:color w:val="0070C0"/>
                <w:sz w:val="22"/>
                <w:szCs w:val="22"/>
              </w:rPr>
              <w:t xml:space="preserve">1. </w:t>
            </w:r>
            <w:r w:rsidRPr="00C25D33">
              <w:rPr>
                <w:rFonts w:ascii="Garamond" w:eastAsia="DejaVuSerif" w:hAnsi="Garamond" w:cs="DejaVuSerif"/>
                <w:color w:val="0070C0"/>
                <w:sz w:val="22"/>
                <w:szCs w:val="22"/>
              </w:rPr>
              <w:t>A szerződés II.1.5) pontjában a kezdő időpont a kötelező kitöltés miatt lett megadva. A szerződés időtartama annak aláírásával kezdődik.</w:t>
            </w:r>
          </w:p>
          <w:p w14:paraId="6A440907" w14:textId="77777777" w:rsidR="00731126" w:rsidRDefault="00731126" w:rsidP="009B2BBC">
            <w:pPr>
              <w:ind w:right="56"/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</w:pPr>
          </w:p>
          <w:p w14:paraId="30943387" w14:textId="6BE8574A" w:rsidR="00F1742A" w:rsidRPr="007A402F" w:rsidRDefault="00731126" w:rsidP="009B2BBC">
            <w:pPr>
              <w:ind w:right="56"/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 xml:space="preserve">2. </w:t>
            </w:r>
            <w:r w:rsidR="00F1742A" w:rsidRPr="00731126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>A felhívás II.2.7) pontjában meghatározott teljesítési határidő</w:t>
            </w:r>
            <w:r w:rsidR="00525C41" w:rsidRPr="00731126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>be</w:t>
            </w:r>
            <w:r w:rsidR="00F1742A" w:rsidRPr="00731126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 xml:space="preserve"> a m</w:t>
            </w:r>
            <w:r w:rsidR="00525C41" w:rsidRPr="00731126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>űszaki átadás-átvétel</w:t>
            </w:r>
            <w:r w:rsidR="009B2BBC" w:rsidRPr="00731126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 xml:space="preserve">i eljárás </w:t>
            </w:r>
            <w:r w:rsidR="00525C41" w:rsidRPr="00731126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>lefolytatás</w:t>
            </w:r>
            <w:r w:rsidR="009B2BBC" w:rsidRPr="00731126">
              <w:rPr>
                <w:rFonts w:ascii="Garamond" w:hAnsi="Garamond"/>
                <w:color w:val="2F5496" w:themeColor="accent1" w:themeShade="BF"/>
                <w:sz w:val="22"/>
                <w:szCs w:val="22"/>
              </w:rPr>
              <w:t>ának is benne kell lennie.</w:t>
            </w:r>
          </w:p>
        </w:tc>
      </w:tr>
    </w:tbl>
    <w:p w14:paraId="1CCF4B32" w14:textId="77777777" w:rsidR="00826D6B" w:rsidRDefault="00826D6B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12E91DA3" w14:textId="292B613E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III. szakasz: Jogi, gazdasági, pénzügyi és műszaki információk</w:t>
      </w:r>
    </w:p>
    <w:p w14:paraId="1422B59B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III.1) Részvételi feltételek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8"/>
        <w:gridCol w:w="5037"/>
      </w:tblGrid>
      <w:tr w:rsidR="0037484E" w:rsidRPr="007A402F" w14:paraId="3C20E7EC" w14:textId="77777777" w:rsidTr="00846281">
        <w:tc>
          <w:tcPr>
            <w:tcW w:w="9795" w:type="dxa"/>
            <w:gridSpan w:val="2"/>
            <w:hideMark/>
          </w:tcPr>
          <w:p w14:paraId="129DC86A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III.1.1) Kizáró okok és a szakmai tevékenység végzésére vonatkozó alkalmasság</w:t>
            </w:r>
          </w:p>
          <w:p w14:paraId="4A1E3A76" w14:textId="07847F91" w:rsidR="0037484E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A kizáró okok felsorolása:</w:t>
            </w:r>
          </w:p>
          <w:p w14:paraId="04B5A44D" w14:textId="7C402573" w:rsidR="0037484E" w:rsidRDefault="0037484E" w:rsidP="00846281">
            <w:pPr>
              <w:spacing w:before="120" w:after="12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Az eljárásban nem lehet ajánlattevő, alvállalkozó, alkalmasság igazolásában részt vevő gazdasági szereplő, akivel szemben a Kbt. 62.</w:t>
            </w:r>
            <w:r w:rsidR="00BC223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§ (1) bekezdés </w:t>
            </w:r>
            <w:r w:rsidR="0043674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h)</w:t>
            </w:r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– k)</w:t>
            </w:r>
            <w:r w:rsidR="0043674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és</w:t>
            </w:r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m) pontja szerinti kizáró okok fennállnak. A Kbt. 74. § (1) bekezdés b) pontja értelmében az ajánlatkérőnek ki kell zárnia az eljárásból azt az ajánlattevőt, alvállalkozót vagy az alkalmasság igazolásában részt vevő szervezetet, </w:t>
            </w:r>
            <w:proofErr w:type="gramStart"/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aki</w:t>
            </w:r>
            <w:proofErr w:type="gramEnd"/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vagy amely </w:t>
            </w:r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lastRenderedPageBreak/>
              <w:t>részéről a kizáró ok az eljárás során következett be.</w:t>
            </w:r>
          </w:p>
          <w:p w14:paraId="476CD2DF" w14:textId="3A971B23" w:rsidR="0037484E" w:rsidRDefault="0037484E" w:rsidP="00846281">
            <w:pPr>
              <w:spacing w:before="120" w:after="12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Az ajánlatkérő felhívja a figyelmet a Kbt. 114. § (2) bekezdésére.</w:t>
            </w:r>
          </w:p>
          <w:p w14:paraId="51F8DBA4" w14:textId="77777777" w:rsidR="00DB0A26" w:rsidRPr="001430D0" w:rsidRDefault="00DB0A26" w:rsidP="00846281">
            <w:pPr>
              <w:spacing w:before="120" w:after="12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09BB28C6" w14:textId="334A0B0F" w:rsidR="00606D94" w:rsidRPr="00DB0A26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Az igazolási módok felsorolása és rövid leírása:</w:t>
            </w:r>
          </w:p>
          <w:p w14:paraId="73EDC316" w14:textId="28A4F266" w:rsidR="0037484E" w:rsidRPr="001430D0" w:rsidRDefault="0037484E" w:rsidP="0037484E">
            <w:pPr>
              <w:pStyle w:val="Listaszerbekezds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</w:pP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Az ajánlattevőnek (közös ajánlattétel esetén minden ajánlattevőnek külön-külön), Kbt. 114. (2) bekezdése és a 321/2015. (XI. 2.) Korm. rendelet (továbbiakban: Kr.) 17. § (1) bekezdése alapján egyszerű nyilatkozatot kell benyújtani arról, hogy nem tartozik a Kbt. 62. § (1) bekezdés </w:t>
            </w:r>
            <w:r w:rsidR="0043674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h)</w:t>
            </w:r>
            <w:r w:rsidR="0043674E"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– k)</w:t>
            </w:r>
            <w:r w:rsidR="0043674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és</w:t>
            </w:r>
            <w:r w:rsidR="0043674E" w:rsidRPr="001430D0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m) </w:t>
            </w: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pontja szerinti kizáró okok hatálya alá.</w:t>
            </w:r>
          </w:p>
          <w:p w14:paraId="03621EB4" w14:textId="72503D21" w:rsidR="0037484E" w:rsidRPr="001430D0" w:rsidRDefault="0037484E" w:rsidP="0037484E">
            <w:pPr>
              <w:pStyle w:val="Listaszerbekezds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</w:pP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Az alvállalkozó, valamint az alkalmasság igazolásában résztvevő más szervezet tekintetében az ajánlattevő köteles nyilatkozni ajánlatában arról, hogy az érintett gazdasági szereplők vonatkozásában nem állnak fenn az eljárásban előírt kizáró okok. (321/2015. (X.30.) Korm. rendelet 17. § (2) bekezdés).</w:t>
            </w:r>
            <w:r w:rsidR="00355CE8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 </w:t>
            </w:r>
          </w:p>
          <w:p w14:paraId="66408EAB" w14:textId="77777777" w:rsidR="0037484E" w:rsidRPr="001430D0" w:rsidRDefault="0037484E" w:rsidP="0037484E">
            <w:pPr>
              <w:pStyle w:val="Listaszerbekezds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</w:pP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A Kbt. 62. § (1) bekezdés k) pont </w:t>
            </w:r>
            <w:proofErr w:type="spellStart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kb</w:t>
            </w:r>
            <w:proofErr w:type="spellEnd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) alpontja tekintetében ajánlattevőnek (közös ajánlattétel esetén minden ajánlattevőnek külön-külön) a pénzmosás és a terrorizmus finanszírozása megelőzéséről és megakadályozásáról szóló 2017. évi LIII. törvény (a továbbiakban: pénzmosásról szóló törvény) 3. § 38. pont a)</w:t>
            </w:r>
            <w:proofErr w:type="spellStart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-b</w:t>
            </w:r>
            <w:proofErr w:type="spellEnd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) vagy d) alpontja szerint definiált valamennyi tényleges tulajdonos nevének és állandó lakóhelyének bemutatását tartalmazó nyilatkozatot szükséges benyújtani; ha a gazdasági szereplőnek nincs a pénzmosásról szóló törvény 3. § 38. pont a)</w:t>
            </w:r>
            <w:proofErr w:type="spellStart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-b</w:t>
            </w:r>
            <w:proofErr w:type="spellEnd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) vagy d) alpontja szerinti tényleges tulajdonosa, úgy erre vonatkozó nyilatkozatot szükséges csatolni.</w:t>
            </w:r>
          </w:p>
          <w:p w14:paraId="55AE2790" w14:textId="771C9E43" w:rsidR="0037484E" w:rsidRPr="001430D0" w:rsidRDefault="0037484E" w:rsidP="0037484E">
            <w:pPr>
              <w:pStyle w:val="Listaszerbekezds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</w:pP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Ajánlattevőnek (közös ajánlattevőnek) </w:t>
            </w:r>
            <w:r w:rsidR="00A55B77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a</w:t>
            </w:r>
            <w:r w:rsidR="003E0331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 kizáró okokkal kapcsolatos</w:t>
            </w: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 nyilatkozato</w:t>
            </w:r>
            <w:r w:rsidR="00A55B77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k</w:t>
            </w: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 csatol</w:t>
            </w:r>
            <w:r w:rsidR="00A55B77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ása</w:t>
            </w: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 (saját nyilatkozatok esetében) </w:t>
            </w:r>
            <w:r w:rsidR="003E0331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során a 321/2015. Korm. rendelet 1. § (7) bekezdésének megfelelően kell eljárniuk.</w:t>
            </w:r>
          </w:p>
          <w:p w14:paraId="1530994E" w14:textId="77777777" w:rsidR="0037484E" w:rsidRPr="001430D0" w:rsidRDefault="0037484E" w:rsidP="0037484E">
            <w:pPr>
              <w:pStyle w:val="Listaszerbekezds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</w:pP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Ajánlattevőnek (közös ajánlattevőnek) folyamatban lévő változásbejegyzési eljárás esetében az ajánlathoz köteles csatolni a cégbírósághoz benyújtott változásbejegyzési kérelmet és az annak érkezéséről a cégbíróság által megküldött igazolást. Amennyiben nincs folyamatban lévő változásbejegyzési eljárás, az ajánlathoz csatolni kell az ajánlattevő erre vonatkozó nemleges tartalmú nyilatkozatát is.</w:t>
            </w:r>
          </w:p>
          <w:p w14:paraId="0475FE96" w14:textId="77777777" w:rsidR="0037484E" w:rsidRPr="001430D0" w:rsidRDefault="0037484E" w:rsidP="0037484E">
            <w:pPr>
              <w:pStyle w:val="Listaszerbekezds"/>
              <w:widowControl w:val="0"/>
              <w:numPr>
                <w:ilvl w:val="0"/>
                <w:numId w:val="1"/>
              </w:numPr>
              <w:spacing w:line="276" w:lineRule="auto"/>
              <w:jc w:val="both"/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</w:pPr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Ajánlatkérő felhívja a figyelmet a Kbt. 64. §</w:t>
            </w:r>
            <w:proofErr w:type="spellStart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>-ban</w:t>
            </w:r>
            <w:proofErr w:type="spellEnd"/>
            <w:r w:rsidRPr="001430D0">
              <w:rPr>
                <w:rFonts w:ascii="Helvetica" w:eastAsia="Calibri" w:hAnsi="Helvetica" w:cs="Helvetica"/>
                <w:color w:val="336699"/>
                <w:sz w:val="21"/>
                <w:szCs w:val="21"/>
                <w:shd w:val="clear" w:color="auto" w:fill="FFFFFF"/>
                <w:lang w:eastAsia="en-US"/>
              </w:rPr>
              <w:t xml:space="preserve"> foglaltakra.</w:t>
            </w:r>
          </w:p>
          <w:p w14:paraId="3DB46B47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Szakmai tevékenység végzésére vonatkozó alkalmasság előírása [Kbt. 65. § (1) bekezdés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c)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pont]:</w:t>
            </w:r>
          </w:p>
          <w:p w14:paraId="4D8451C4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Szakmai tevékenység végzésére vonatkozó alkalmasság igazolása:</w:t>
            </w:r>
          </w:p>
          <w:p w14:paraId="6841B746" w14:textId="77777777" w:rsidR="0037484E" w:rsidRPr="007A402F" w:rsidRDefault="0037484E" w:rsidP="00846281">
            <w:pPr>
              <w:spacing w:before="120" w:after="120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37484E" w:rsidRPr="007A402F" w14:paraId="7ECF2073" w14:textId="77777777" w:rsidTr="00846281">
        <w:tc>
          <w:tcPr>
            <w:tcW w:w="9795" w:type="dxa"/>
            <w:gridSpan w:val="2"/>
            <w:hideMark/>
          </w:tcPr>
          <w:p w14:paraId="556E2D5D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lastRenderedPageBreak/>
              <w:t>III.1.2) Gazdasági és pénzügyi alkalmasság</w:t>
            </w:r>
          </w:p>
        </w:tc>
      </w:tr>
      <w:tr w:rsidR="0037484E" w:rsidRPr="007A402F" w14:paraId="4749A8F0" w14:textId="77777777" w:rsidTr="00846281">
        <w:tc>
          <w:tcPr>
            <w:tcW w:w="4758" w:type="dxa"/>
            <w:hideMark/>
          </w:tcPr>
          <w:p w14:paraId="6B1CC98C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Az igazolási módok felsorolása és rövid leírása:</w:t>
            </w:r>
          </w:p>
          <w:p w14:paraId="4A6CDDBF" w14:textId="77777777" w:rsidR="0037484E" w:rsidRPr="007A402F" w:rsidRDefault="0037484E" w:rsidP="00846281">
            <w:pPr>
              <w:widowControl w:val="0"/>
              <w:spacing w:line="276" w:lineRule="auto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037" w:type="dxa"/>
            <w:hideMark/>
          </w:tcPr>
          <w:p w14:paraId="4D83B2CA" w14:textId="77777777" w:rsidR="0037484E" w:rsidRPr="007A402F" w:rsidRDefault="0037484E" w:rsidP="00846281">
            <w:pPr>
              <w:spacing w:before="120" w:after="120"/>
              <w:ind w:left="280" w:hanging="2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Alkalmassági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minimumkövetelmény(</w:t>
            </w:r>
            <w:proofErr w:type="spellStart"/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ek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) meghatározása:</w:t>
            </w:r>
          </w:p>
          <w:p w14:paraId="506ED762" w14:textId="77777777" w:rsidR="0037484E" w:rsidRPr="007A402F" w:rsidRDefault="0037484E" w:rsidP="00846281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37484E" w:rsidRPr="007A402F" w14:paraId="6ADDE809" w14:textId="77777777" w:rsidTr="00846281">
        <w:tc>
          <w:tcPr>
            <w:tcW w:w="9795" w:type="dxa"/>
            <w:gridSpan w:val="2"/>
            <w:hideMark/>
          </w:tcPr>
          <w:p w14:paraId="6FE2CCF6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III.1.3) Műszaki, illetve szakmai alkalmasság</w:t>
            </w:r>
          </w:p>
        </w:tc>
      </w:tr>
      <w:tr w:rsidR="0037484E" w:rsidRPr="00806585" w14:paraId="45307DA3" w14:textId="77777777" w:rsidTr="00846281">
        <w:trPr>
          <w:trHeight w:val="1239"/>
        </w:trPr>
        <w:tc>
          <w:tcPr>
            <w:tcW w:w="4758" w:type="dxa"/>
            <w:hideMark/>
          </w:tcPr>
          <w:p w14:paraId="4D5B25C4" w14:textId="26E6998B" w:rsidR="00160962" w:rsidRPr="00806585" w:rsidRDefault="0037484E" w:rsidP="00806585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806585">
              <w:rPr>
                <w:rFonts w:eastAsia="Times New Roman"/>
                <w:sz w:val="22"/>
                <w:szCs w:val="22"/>
                <w:lang w:eastAsia="hu-HU"/>
              </w:rPr>
              <w:t>Az igazolási módok felsorolása és rövid leírása</w:t>
            </w:r>
          </w:p>
        </w:tc>
        <w:tc>
          <w:tcPr>
            <w:tcW w:w="5037" w:type="dxa"/>
            <w:hideMark/>
          </w:tcPr>
          <w:p w14:paraId="5FD338A2" w14:textId="09A0EB5D" w:rsidR="00363C0A" w:rsidRPr="00806585" w:rsidRDefault="0037484E" w:rsidP="00806585">
            <w:pPr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806585">
              <w:rPr>
                <w:rFonts w:eastAsia="Times New Roman"/>
                <w:sz w:val="22"/>
                <w:szCs w:val="22"/>
                <w:lang w:eastAsia="hu-HU"/>
              </w:rPr>
              <w:t xml:space="preserve">Alkalmassági </w:t>
            </w:r>
            <w:proofErr w:type="gramStart"/>
            <w:r w:rsidRPr="00806585">
              <w:rPr>
                <w:rFonts w:eastAsia="Times New Roman"/>
                <w:sz w:val="22"/>
                <w:szCs w:val="22"/>
                <w:lang w:eastAsia="hu-HU"/>
              </w:rPr>
              <w:t>minimumkövetelmény(</w:t>
            </w:r>
            <w:proofErr w:type="spellStart"/>
            <w:proofErr w:type="gramEnd"/>
            <w:r w:rsidRPr="00806585">
              <w:rPr>
                <w:rFonts w:eastAsia="Times New Roman"/>
                <w:sz w:val="22"/>
                <w:szCs w:val="22"/>
                <w:lang w:eastAsia="hu-HU"/>
              </w:rPr>
              <w:t>ek</w:t>
            </w:r>
            <w:proofErr w:type="spellEnd"/>
            <w:r w:rsidRPr="00806585">
              <w:rPr>
                <w:rFonts w:eastAsia="Times New Roman"/>
                <w:sz w:val="22"/>
                <w:szCs w:val="22"/>
                <w:lang w:eastAsia="hu-HU"/>
              </w:rPr>
              <w:t xml:space="preserve">): </w:t>
            </w:r>
          </w:p>
        </w:tc>
      </w:tr>
      <w:tr w:rsidR="0037484E" w:rsidRPr="007A402F" w14:paraId="56796DC3" w14:textId="77777777" w:rsidTr="00846281">
        <w:tc>
          <w:tcPr>
            <w:tcW w:w="9795" w:type="dxa"/>
            <w:gridSpan w:val="2"/>
            <w:hideMark/>
          </w:tcPr>
          <w:p w14:paraId="7050A76F" w14:textId="77777777" w:rsidR="0037484E" w:rsidRPr="007A402F" w:rsidRDefault="0037484E" w:rsidP="00846281">
            <w:pPr>
              <w:outlineLvl w:val="0"/>
              <w:rPr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III.1.4) </w:t>
            </w:r>
            <w:proofErr w:type="gram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A</w:t>
            </w:r>
            <w:proofErr w:type="gram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szerződés biztosítékai:</w:t>
            </w:r>
            <w:r w:rsidRPr="007A402F">
              <w:rPr>
                <w:sz w:val="22"/>
                <w:szCs w:val="22"/>
                <w:lang w:eastAsia="hu-HU"/>
              </w:rPr>
              <w:t xml:space="preserve"> </w:t>
            </w:r>
          </w:p>
          <w:p w14:paraId="613449A1" w14:textId="77777777" w:rsidR="0037484E" w:rsidRPr="007A402F" w:rsidRDefault="0037484E" w:rsidP="00846281">
            <w:pPr>
              <w:outlineLvl w:val="0"/>
              <w:rPr>
                <w:sz w:val="22"/>
                <w:szCs w:val="22"/>
                <w:u w:val="single"/>
                <w:lang w:eastAsia="ar-SA"/>
              </w:rPr>
            </w:pPr>
          </w:p>
          <w:p w14:paraId="228A81AC" w14:textId="0D4123EC" w:rsidR="00B12EE8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u w:val="single"/>
                <w:shd w:val="clear" w:color="auto" w:fill="FFFFFF"/>
              </w:rPr>
              <w:t>Késedelmi kötbér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: mértéke a késedelemmel érintett naptári naponként – az általános forgalmi adó nélkül számított - vállalkozói díj </w:t>
            </w:r>
            <w:r w:rsidR="00EC7C8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</w:t>
            </w:r>
            <w:r w:rsidR="00ED68C9"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%-</w:t>
            </w:r>
            <w:proofErr w:type="gramStart"/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</w:t>
            </w:r>
            <w:r w:rsidRPr="007071B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</w:t>
            </w:r>
            <w:proofErr w:type="gramEnd"/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késedelmi kötbér kumulált összegének felső határa a – az általános forgalmi adó nélkü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l számított - </w:t>
            </w:r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vállalkozói díj </w:t>
            </w:r>
            <w:r w:rsidR="00F1742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2</w:t>
            </w:r>
            <w:r w:rsidR="00EC7C8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</w:t>
            </w:r>
            <w:r w:rsidR="00ED68C9"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%-</w:t>
            </w:r>
            <w:proofErr w:type="gramStart"/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a.</w:t>
            </w:r>
            <w:proofErr w:type="gramEnd"/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kötbéralap meghatározását a szerződéstervezet 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lastRenderedPageBreak/>
              <w:t>tartalmazza.</w:t>
            </w:r>
            <w:r w:rsidR="00182BCC"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="00182BCC" w:rsidRPr="00182BC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 </w:t>
            </w:r>
            <w:r w:rsidR="00F1742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2</w:t>
            </w:r>
            <w:r w:rsidR="00182BCC" w:rsidRPr="00182BC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 napot meghaladó késedelem esetén Megrendelő jogosult a szerződést azonnali hatállyal felmondani</w:t>
            </w:r>
            <w:r w:rsidR="00AC73E9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,</w:t>
            </w:r>
            <w:r w:rsidR="00182BCC" w:rsidRPr="00182BC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mely okán Vállalkozó a meghiúsulási kötbérfizetésre lesz kötelezett.</w:t>
            </w:r>
          </w:p>
          <w:p w14:paraId="369D5829" w14:textId="77777777" w:rsidR="00B12EE8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4D4BEAF8" w14:textId="5C1FF248" w:rsidR="00B12EE8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7D6F4A">
              <w:rPr>
                <w:rFonts w:ascii="Helvetica" w:hAnsi="Helvetica" w:cs="Helvetica"/>
                <w:color w:val="336699"/>
                <w:sz w:val="21"/>
                <w:szCs w:val="21"/>
                <w:u w:val="single"/>
                <w:shd w:val="clear" w:color="auto" w:fill="FFFFFF"/>
              </w:rPr>
              <w:t xml:space="preserve">Hibás teljesítés </w:t>
            </w:r>
            <w:r w:rsidR="0026490A" w:rsidRPr="007D6F4A">
              <w:rPr>
                <w:rFonts w:ascii="Helvetica" w:hAnsi="Helvetica" w:cs="Helvetica"/>
                <w:color w:val="336699"/>
                <w:sz w:val="21"/>
                <w:szCs w:val="21"/>
                <w:u w:val="single"/>
                <w:shd w:val="clear" w:color="auto" w:fill="FFFFFF"/>
              </w:rPr>
              <w:t>esetén alkalmazandó késedelmi kötbér</w:t>
            </w:r>
            <w:r w:rsidRPr="007D6F4A">
              <w:rPr>
                <w:rFonts w:ascii="Helvetica" w:hAnsi="Helvetica" w:cs="Helvetica"/>
                <w:color w:val="336699"/>
                <w:sz w:val="21"/>
                <w:szCs w:val="21"/>
                <w:u w:val="single"/>
                <w:shd w:val="clear" w:color="auto" w:fill="FFFFFF"/>
              </w:rPr>
              <w:t>: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mértéke </w:t>
            </w:r>
            <w:r w:rsidRPr="001449B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hibás teljesítéssel érintett minden megkezdett naptári napjára vonatkozóan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– az általános forgalmi adó nélkül számított </w:t>
            </w:r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- vállalkozói díj </w:t>
            </w:r>
            <w:r w:rsidR="00EC7C8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</w:t>
            </w:r>
            <w:r w:rsidR="00ED68C9"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%-</w:t>
            </w:r>
            <w:proofErr w:type="gramStart"/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a.</w:t>
            </w:r>
            <w:proofErr w:type="gramEnd"/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kötbér kumulált összegének felső határa a – az általános forgalmi adó nélkü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l számított - </w:t>
            </w:r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vállalkozói díj </w:t>
            </w:r>
            <w:r w:rsidR="00F1742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2</w:t>
            </w:r>
            <w:r w:rsidR="00EC7C8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</w:t>
            </w:r>
            <w:r w:rsidR="00ED68C9"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80291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%-</w:t>
            </w:r>
            <w:proofErr w:type="gramStart"/>
            <w:r w:rsidRPr="007071B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</w:t>
            </w:r>
            <w:proofErr w:type="gramEnd"/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kötbéralap meghatározását a szerződéstervezet tartalmazza.</w:t>
            </w:r>
          </w:p>
          <w:p w14:paraId="74821045" w14:textId="77777777" w:rsidR="00B12EE8" w:rsidRPr="005C4E96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3CB721A6" w14:textId="55E6631E" w:rsidR="00B12EE8" w:rsidRPr="00E82D2D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u w:val="single"/>
                <w:shd w:val="clear" w:color="auto" w:fill="FFFFFF"/>
              </w:rPr>
              <w:t>Meghiúsulási kötbér: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– az általános forgalmi adó nélkül számított - vállalkozói díj </w:t>
            </w:r>
            <w:r w:rsidR="00F1742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2</w:t>
            </w:r>
            <w:r w:rsidR="00EC7C8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</w:t>
            </w:r>
            <w:r w:rsidR="00F1742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%-</w:t>
            </w:r>
            <w:proofErr w:type="gramStart"/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a.</w:t>
            </w:r>
            <w:proofErr w:type="gramEnd"/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meghiúsulási kötbér alapja a – az általános forgalmi adó nélkül számított - vállalkozói díj.</w:t>
            </w:r>
            <w:r w:rsidRPr="00E82D2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Meghiúsulási kötbér a késedelmi kötbérrel együtt nem érvényesíthető. </w:t>
            </w:r>
          </w:p>
          <w:p w14:paraId="5892BD70" w14:textId="77777777" w:rsidR="00B12EE8" w:rsidRPr="00E82D2D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107A4D41" w14:textId="77777777" w:rsidR="00B12EE8" w:rsidRPr="005C4E96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E82D2D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Ajánlatkérő jogosult a kötbért a vállalkozói díjból a Ptk. 6:139. § (1) bekezdése szerint visszatartani. Ajánlatkérőnek jogában áll a Kbt. 135. § (6) bekezdésének figyelembevételével az érvényesített kötbért a vállalkozói díjba beszámítani.</w:t>
            </w:r>
          </w:p>
          <w:p w14:paraId="3EF268BE" w14:textId="77777777" w:rsidR="00B12EE8" w:rsidRPr="005C4E96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74A9085A" w14:textId="11F321C2" w:rsidR="00B12EE8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u w:val="single"/>
                <w:shd w:val="clear" w:color="auto" w:fill="FFFFFF"/>
              </w:rPr>
              <w:t>Jótállás:</w:t>
            </w: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sikeres műszaki átadás-átvételi eljárást dokumentáló jegyzőkönyv keltétől számított</w:t>
            </w:r>
            <w:r w:rsidR="0059693F"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bookmarkStart w:id="3" w:name="_Hlk93832742"/>
            <w:r w:rsidR="00A3084A"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jogszabály szerinti kötelezően biztosítandó jótállási idő</w:t>
            </w:r>
            <w:r w:rsidR="00A55FAC"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  <w:bookmarkEnd w:id="3"/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szerződéstervezetben részletezettek szerint. </w:t>
            </w:r>
          </w:p>
          <w:p w14:paraId="1579B515" w14:textId="7924A1BF" w:rsidR="00F1742A" w:rsidRDefault="00F1742A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7B6B4FC1" w14:textId="7C494193" w:rsidR="00BB0DFE" w:rsidRPr="00731126" w:rsidRDefault="00BB0DFE" w:rsidP="00BB0DFE">
            <w:pPr>
              <w:rPr>
                <w:rFonts w:eastAsia="DejaVuSerif"/>
                <w:color w:val="0070C0"/>
                <w:sz w:val="22"/>
                <w:szCs w:val="22"/>
              </w:rPr>
            </w:pPr>
            <w:r w:rsidRPr="0066053E">
              <w:rPr>
                <w:rFonts w:eastAsia="DejaVuSerif"/>
                <w:color w:val="0070C0"/>
                <w:sz w:val="22"/>
                <w:szCs w:val="22"/>
                <w:u w:val="single"/>
              </w:rPr>
              <w:t>Teljesítési biztosíték:</w:t>
            </w:r>
            <w:r w:rsidRPr="0066053E">
              <w:rPr>
                <w:rFonts w:eastAsia="DejaVuSerif"/>
                <w:color w:val="0070C0"/>
                <w:sz w:val="22"/>
                <w:szCs w:val="22"/>
              </w:rPr>
              <w:t xml:space="preserve"> </w:t>
            </w:r>
            <w:r w:rsidRPr="0066053E">
              <w:rPr>
                <w:color w:val="0070C0"/>
                <w:sz w:val="22"/>
                <w:szCs w:val="22"/>
              </w:rPr>
              <w:t>A Kbt. 134. § (2) és (4) bekezdése szerint a nyertes ajánlattevő köteles teljesítési biztosítékot nyújtani az ajánlatkérő részére a nyertes ajánlattevő teljesítésének késedelmével vagy elmaradásával kapcsolatos igényeire. A teljesítési biztosíték összege a nettó ajánla</w:t>
            </w:r>
            <w:r w:rsidRPr="00731126">
              <w:rPr>
                <w:color w:val="0070C0"/>
                <w:sz w:val="22"/>
                <w:szCs w:val="22"/>
              </w:rPr>
              <w:t xml:space="preserve">ti ár </w:t>
            </w:r>
            <w:r w:rsidR="00A3084A" w:rsidRPr="00731126">
              <w:rPr>
                <w:color w:val="0070C0"/>
                <w:sz w:val="22"/>
                <w:szCs w:val="22"/>
              </w:rPr>
              <w:t>2</w:t>
            </w:r>
            <w:r w:rsidRPr="00731126">
              <w:rPr>
                <w:color w:val="0070C0"/>
                <w:sz w:val="22"/>
                <w:szCs w:val="22"/>
              </w:rPr>
              <w:t xml:space="preserve"> %-</w:t>
            </w:r>
            <w:proofErr w:type="gramStart"/>
            <w:r w:rsidRPr="00731126">
              <w:rPr>
                <w:color w:val="0070C0"/>
                <w:sz w:val="22"/>
                <w:szCs w:val="22"/>
              </w:rPr>
              <w:t>a.</w:t>
            </w:r>
            <w:proofErr w:type="gramEnd"/>
            <w:r w:rsidRPr="00731126">
              <w:rPr>
                <w:color w:val="0070C0"/>
                <w:sz w:val="22"/>
                <w:szCs w:val="22"/>
              </w:rPr>
              <w:t xml:space="preserve"> A teljesítési biztosítékot a nyertes ajánlattevő legkésőbb a szerződés hatályba lépésének napján köteles nyújtani, és folyamatosan fenn kell állnia az utolsó részteljesítésre vonatkozó teljesítésigazolás kiállításáig, abban az esetben is, ha a nyertes ajánlattevő késedelembe esik, vagy a teljesítési határidő módosul. A teljesítési biztosíték az ajánlattevő választása szerint nyújtható a Kbt. 134. § (6) </w:t>
            </w:r>
            <w:proofErr w:type="spellStart"/>
            <w:r w:rsidRPr="00731126">
              <w:rPr>
                <w:color w:val="0070C0"/>
                <w:sz w:val="22"/>
                <w:szCs w:val="22"/>
              </w:rPr>
              <w:t>bek</w:t>
            </w:r>
            <w:proofErr w:type="spellEnd"/>
            <w:r w:rsidRPr="00731126">
              <w:rPr>
                <w:color w:val="0070C0"/>
                <w:sz w:val="22"/>
                <w:szCs w:val="22"/>
              </w:rPr>
              <w:t>. a) pontja szerinti formában.</w:t>
            </w:r>
          </w:p>
          <w:p w14:paraId="6F431436" w14:textId="0F411E89" w:rsidR="00BB0DFE" w:rsidRPr="00731126" w:rsidRDefault="00BB0DFE" w:rsidP="00F1742A">
            <w:pPr>
              <w:rPr>
                <w:rFonts w:eastAsia="DejaVuSerif"/>
                <w:color w:val="0070C0"/>
                <w:sz w:val="22"/>
                <w:szCs w:val="22"/>
                <w:u w:val="single"/>
              </w:rPr>
            </w:pPr>
          </w:p>
          <w:p w14:paraId="6A8AABEB" w14:textId="404BE86F" w:rsidR="00F1742A" w:rsidRPr="0066053E" w:rsidRDefault="00F1742A" w:rsidP="00F1742A">
            <w:pPr>
              <w:rPr>
                <w:color w:val="0070C0"/>
                <w:sz w:val="22"/>
                <w:szCs w:val="22"/>
              </w:rPr>
            </w:pPr>
            <w:proofErr w:type="spellStart"/>
            <w:r w:rsidRPr="00731126">
              <w:rPr>
                <w:rFonts w:eastAsia="DejaVuSerif"/>
                <w:color w:val="0070C0"/>
                <w:sz w:val="22"/>
                <w:szCs w:val="22"/>
                <w:u w:val="single"/>
              </w:rPr>
              <w:t>Jólteljesítési</w:t>
            </w:r>
            <w:proofErr w:type="spellEnd"/>
            <w:r w:rsidRPr="00731126">
              <w:rPr>
                <w:rFonts w:eastAsia="DejaVuSerif"/>
                <w:color w:val="0070C0"/>
                <w:sz w:val="22"/>
                <w:szCs w:val="22"/>
                <w:u w:val="single"/>
              </w:rPr>
              <w:t xml:space="preserve"> biztosíték:</w:t>
            </w:r>
            <w:r w:rsidRPr="00731126">
              <w:rPr>
                <w:rFonts w:eastAsia="DejaVuSerif"/>
                <w:color w:val="0070C0"/>
                <w:sz w:val="22"/>
                <w:szCs w:val="22"/>
              </w:rPr>
              <w:t xml:space="preserve"> A Kbt. 134. § (2) és (4) bekezdése szerinti határidőben (átadás-átvétel) a Kbt. 134. § (6) bekezdés a) pontja szerinti formában, a nettó ajánlati ár </w:t>
            </w:r>
            <w:r w:rsidR="00A3084A" w:rsidRPr="00731126">
              <w:rPr>
                <w:rFonts w:eastAsia="DejaVuSerif"/>
                <w:color w:val="0070C0"/>
                <w:sz w:val="22"/>
                <w:szCs w:val="22"/>
              </w:rPr>
              <w:t>2</w:t>
            </w:r>
            <w:r w:rsidRPr="00731126">
              <w:rPr>
                <w:rFonts w:eastAsia="DejaVuSerif"/>
                <w:color w:val="0070C0"/>
                <w:sz w:val="22"/>
                <w:szCs w:val="22"/>
              </w:rPr>
              <w:t xml:space="preserve"> %-</w:t>
            </w:r>
            <w:proofErr w:type="gramStart"/>
            <w:r w:rsidRPr="00731126">
              <w:rPr>
                <w:rFonts w:eastAsia="DejaVuSerif"/>
                <w:color w:val="0070C0"/>
                <w:sz w:val="22"/>
                <w:szCs w:val="22"/>
              </w:rPr>
              <w:t>a.</w:t>
            </w:r>
            <w:proofErr w:type="gramEnd"/>
            <w:r w:rsidRPr="0066053E">
              <w:rPr>
                <w:rFonts w:eastAsia="DejaVuSerif"/>
                <w:color w:val="0070C0"/>
                <w:sz w:val="22"/>
                <w:szCs w:val="22"/>
              </w:rPr>
              <w:t xml:space="preserve"> </w:t>
            </w:r>
            <w:r w:rsidR="00BB0DFE" w:rsidRPr="0066053E">
              <w:rPr>
                <w:color w:val="0070C0"/>
                <w:sz w:val="22"/>
                <w:szCs w:val="22"/>
              </w:rPr>
              <w:t xml:space="preserve">A </w:t>
            </w:r>
            <w:proofErr w:type="spellStart"/>
            <w:r w:rsidR="00BB0DFE" w:rsidRPr="0066053E">
              <w:rPr>
                <w:color w:val="0070C0"/>
                <w:sz w:val="22"/>
                <w:szCs w:val="22"/>
              </w:rPr>
              <w:t>jólteljesítési</w:t>
            </w:r>
            <w:proofErr w:type="spellEnd"/>
            <w:r w:rsidR="00BB0DFE" w:rsidRPr="0066053E">
              <w:rPr>
                <w:color w:val="0070C0"/>
                <w:sz w:val="22"/>
                <w:szCs w:val="22"/>
              </w:rPr>
              <w:t xml:space="preserve"> biztosíték az ajánlattevő választása szerint nyújtható a Kbt. 134. § (6) </w:t>
            </w:r>
            <w:proofErr w:type="spellStart"/>
            <w:r w:rsidR="00BB0DFE" w:rsidRPr="0066053E">
              <w:rPr>
                <w:color w:val="0070C0"/>
                <w:sz w:val="22"/>
                <w:szCs w:val="22"/>
              </w:rPr>
              <w:t>bek</w:t>
            </w:r>
            <w:proofErr w:type="spellEnd"/>
            <w:r w:rsidR="00BB0DFE" w:rsidRPr="0066053E">
              <w:rPr>
                <w:color w:val="0070C0"/>
                <w:sz w:val="22"/>
                <w:szCs w:val="22"/>
              </w:rPr>
              <w:t>. a) pontja szerinti formában.</w:t>
            </w:r>
          </w:p>
          <w:p w14:paraId="3AAF26FF" w14:textId="6C77CFDD" w:rsidR="003B7C72" w:rsidRPr="0066053E" w:rsidRDefault="003B7C72" w:rsidP="00F1742A">
            <w:pPr>
              <w:rPr>
                <w:color w:val="0070C0"/>
                <w:sz w:val="22"/>
                <w:szCs w:val="22"/>
              </w:rPr>
            </w:pPr>
          </w:p>
          <w:p w14:paraId="4B6E3936" w14:textId="22998CD4" w:rsidR="003B7C72" w:rsidRPr="0066053E" w:rsidRDefault="003B7C72" w:rsidP="00F1742A">
            <w:pPr>
              <w:rPr>
                <w:rFonts w:eastAsia="DejaVuSerif"/>
                <w:color w:val="0070C0"/>
                <w:sz w:val="22"/>
                <w:szCs w:val="22"/>
              </w:rPr>
            </w:pPr>
            <w:r w:rsidRPr="0066053E">
              <w:rPr>
                <w:color w:val="0070C0"/>
                <w:sz w:val="22"/>
                <w:szCs w:val="22"/>
              </w:rPr>
              <w:t xml:space="preserve">Ajánlatkérő rögzíti, hogy a teljesítési biztosíték annak lejártakor </w:t>
            </w:r>
            <w:proofErr w:type="spellStart"/>
            <w:r w:rsidRPr="0066053E">
              <w:rPr>
                <w:color w:val="0070C0"/>
                <w:sz w:val="22"/>
                <w:szCs w:val="22"/>
              </w:rPr>
              <w:t>jólteljesítési</w:t>
            </w:r>
            <w:proofErr w:type="spellEnd"/>
            <w:r w:rsidRPr="0066053E">
              <w:rPr>
                <w:color w:val="0070C0"/>
                <w:sz w:val="22"/>
                <w:szCs w:val="22"/>
              </w:rPr>
              <w:t xml:space="preserve"> biztosítékká alakul át. </w:t>
            </w:r>
          </w:p>
          <w:p w14:paraId="0BFFE7B5" w14:textId="77777777" w:rsidR="00B12EE8" w:rsidRPr="005C4E96" w:rsidRDefault="00B12EE8" w:rsidP="00B12EE8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158CD2A3" w14:textId="7368C5DF" w:rsidR="0037484E" w:rsidRPr="007A402F" w:rsidRDefault="00B12EE8" w:rsidP="00B12EE8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shd w:val="clear" w:color="auto" w:fill="FFFFFF"/>
                <w:lang w:eastAsia="hu-HU"/>
              </w:rPr>
            </w:pPr>
            <w:r w:rsidRPr="005C4E96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Részletes feltételek a kivitelezési szerződésben.</w:t>
            </w:r>
          </w:p>
        </w:tc>
      </w:tr>
      <w:tr w:rsidR="0037484E" w:rsidRPr="007A402F" w14:paraId="06571A53" w14:textId="77777777" w:rsidTr="00093897">
        <w:tc>
          <w:tcPr>
            <w:tcW w:w="9795" w:type="dxa"/>
            <w:gridSpan w:val="2"/>
            <w:shd w:val="clear" w:color="auto" w:fill="auto"/>
            <w:hideMark/>
          </w:tcPr>
          <w:p w14:paraId="0B74B4AC" w14:textId="4B574314" w:rsidR="0037484E" w:rsidRPr="00093897" w:rsidRDefault="0037484E" w:rsidP="00093897">
            <w:pPr>
              <w:spacing w:before="120" w:after="120"/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 w:rsidRPr="00093897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lastRenderedPageBreak/>
              <w:t>III.1.5) Az ellenszolgáltatás teljesítésének feltételei és / vagy hivatkozás a vonatkozó jogszabályi rendelkezésekre:</w:t>
            </w:r>
          </w:p>
          <w:p w14:paraId="472A30BC" w14:textId="78D69D04" w:rsidR="005D4499" w:rsidRPr="00093897" w:rsidRDefault="005D4499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Ajánlatkérő </w:t>
            </w:r>
            <w:r w:rsidR="00A3084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 Vállalkozói díjat</w:t>
            </w:r>
            <w:r w:rsidR="00875C19"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 </w:t>
            </w:r>
            <w:r w:rsidR="00CF5398" w:rsidRPr="00A263F9">
              <w:rPr>
                <w:color w:val="4472C4" w:themeColor="accent1"/>
                <w:sz w:val="22"/>
              </w:rPr>
              <w:t>BMÖGF/587-1/2021</w:t>
            </w:r>
            <w:r w:rsidR="00CF5398" w:rsidRPr="00A263F9">
              <w:rPr>
                <w:b/>
                <w:color w:val="4472C4" w:themeColor="accent1"/>
                <w:sz w:val="22"/>
              </w:rPr>
              <w:t xml:space="preserve"> </w:t>
            </w:r>
            <w:r w:rsidR="00875C19"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iktatószámú </w:t>
            </w:r>
            <w:r w:rsidR="008B18A7"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Belügyminisztérium által ny</w:t>
            </w:r>
            <w:r w:rsidR="00433573"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újtott </w:t>
            </w:r>
            <w:r w:rsidR="00F1742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10</w:t>
            </w:r>
            <w:r w:rsidR="00CF5398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</w:t>
            </w:r>
            <w:r w:rsidR="00875C19"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%-os támogatási intenzitású támogatásból finanszírozza.</w:t>
            </w:r>
          </w:p>
          <w:p w14:paraId="62C68CE8" w14:textId="77777777" w:rsidR="005D4499" w:rsidRPr="00093897" w:rsidRDefault="005D4499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1743F45E" w14:textId="723A71BC" w:rsidR="0037484E" w:rsidRPr="00093897" w:rsidRDefault="0037484E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Tartalékkeret nincs. </w:t>
            </w:r>
            <w:r w:rsidR="004822C6"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2502715F" w14:textId="77777777" w:rsidR="0037484E" w:rsidRPr="00093897" w:rsidRDefault="0037484E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69C41E54" w14:textId="0A7F82DF" w:rsidR="0037484E" w:rsidRPr="00093897" w:rsidRDefault="0037484E" w:rsidP="0009389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 számlák kifizetésére a Kbt. 135. § (1)-(3) és (5)-(6)</w:t>
            </w:r>
            <w:r w:rsidR="00E75A88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, (8)</w:t>
            </w:r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bekezdései, a Ptk. 6:130. § (1)-(2) bekezdései, valamint a 322/2015. (X. 30.) Korm. rendelet 30-32. § és a 32/</w:t>
            </w:r>
            <w:proofErr w:type="gramStart"/>
            <w:r w:rsidR="001C5BE4"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</w:t>
            </w:r>
            <w:proofErr w:type="gramEnd"/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 §</w:t>
            </w:r>
            <w:proofErr w:type="spellStart"/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-ai</w:t>
            </w:r>
            <w:proofErr w:type="spellEnd"/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irányadóak.</w:t>
            </w:r>
          </w:p>
          <w:p w14:paraId="23CC6E09" w14:textId="77777777" w:rsidR="0037484E" w:rsidRPr="00093897" w:rsidRDefault="0037484E" w:rsidP="00093897">
            <w:pPr>
              <w:outlineLvl w:val="0"/>
              <w:rPr>
                <w:sz w:val="22"/>
                <w:szCs w:val="22"/>
                <w:shd w:val="clear" w:color="auto" w:fill="FFFFFF"/>
              </w:rPr>
            </w:pPr>
          </w:p>
          <w:p w14:paraId="74A609DC" w14:textId="4CDE4490" w:rsidR="0037484E" w:rsidRPr="00E71CE3" w:rsidRDefault="0037484E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E71CE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Fizetési ütemezés: </w:t>
            </w:r>
            <w:r w:rsidR="006F793A" w:rsidRPr="00E71CE3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20D53EC6" w14:textId="77777777" w:rsidR="0037484E" w:rsidRPr="00480ACE" w:rsidRDefault="0037484E" w:rsidP="00093897">
            <w:pPr>
              <w:outlineLvl w:val="0"/>
              <w:rPr>
                <w:sz w:val="22"/>
                <w:szCs w:val="22"/>
                <w:highlight w:val="yellow"/>
                <w:shd w:val="clear" w:color="auto" w:fill="FFFFFF"/>
              </w:rPr>
            </w:pPr>
          </w:p>
          <w:p w14:paraId="1B25CA62" w14:textId="69003B28" w:rsidR="00480ACE" w:rsidRPr="00A55FAC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  <w:r w:rsidRPr="00E71CE3">
              <w:rPr>
                <w:rFonts w:ascii="Garamond" w:hAnsi="Garamond"/>
                <w:color w:val="336699"/>
                <w:shd w:val="clear" w:color="auto" w:fill="FFFFFF"/>
              </w:rPr>
              <w:t>a)</w:t>
            </w:r>
            <w:r w:rsidRPr="00E71CE3">
              <w:rPr>
                <w:rFonts w:ascii="Garamond" w:hAnsi="Garamond"/>
                <w:color w:val="336699"/>
                <w:shd w:val="clear" w:color="auto" w:fill="FFFFFF"/>
              </w:rPr>
              <w:tab/>
              <w:t xml:space="preserve">előleg: nettó 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Vállalkozói Díj </w:t>
            </w:r>
            <w:r w:rsidR="00A3084A" w:rsidRPr="00A55FAC">
              <w:rPr>
                <w:rFonts w:ascii="Garamond" w:hAnsi="Garamond"/>
                <w:color w:val="336699"/>
                <w:shd w:val="clear" w:color="auto" w:fill="FFFFFF"/>
              </w:rPr>
              <w:t>3</w:t>
            </w:r>
            <w:r w:rsidR="00B90243" w:rsidRPr="00A55FAC">
              <w:rPr>
                <w:rFonts w:ascii="Garamond" w:hAnsi="Garamond"/>
                <w:color w:val="336699"/>
                <w:shd w:val="clear" w:color="auto" w:fill="FFFFFF"/>
              </w:rPr>
              <w:t>0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%-</w:t>
            </w:r>
            <w:proofErr w:type="gramStart"/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>a.</w:t>
            </w:r>
            <w:proofErr w:type="gramEnd"/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</w:t>
            </w:r>
          </w:p>
          <w:p w14:paraId="13D1E2C0" w14:textId="77777777" w:rsidR="00480ACE" w:rsidRPr="00A55FAC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>b)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ab/>
              <w:t xml:space="preserve">részszámla: </w:t>
            </w:r>
          </w:p>
          <w:p w14:paraId="46DFDA48" w14:textId="54F3EE58" w:rsidR="00480ACE" w:rsidRPr="00A55FAC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Vállalkozói Díj </w:t>
            </w:r>
            <w:r w:rsidR="00CF5398" w:rsidRPr="00A55FAC">
              <w:rPr>
                <w:rFonts w:ascii="Garamond" w:hAnsi="Garamond"/>
                <w:color w:val="336699"/>
                <w:shd w:val="clear" w:color="auto" w:fill="FFFFFF"/>
              </w:rPr>
              <w:t>25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>%-ának megfelelő mértékű részszámla, 25%-os készültségi fok</w:t>
            </w:r>
            <w:r w:rsidR="00E71CE3"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elérése után</w:t>
            </w:r>
          </w:p>
          <w:p w14:paraId="14C5C55D" w14:textId="25903B67" w:rsidR="00480ACE" w:rsidRPr="00A55FAC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Vállalkozói Díj 25%-ának megfelelő mértékű részszámla, 50%-os készültségi fok</w:t>
            </w:r>
            <w:r w:rsidR="00E71CE3"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elérése után</w:t>
            </w:r>
          </w:p>
          <w:p w14:paraId="02314606" w14:textId="1322312B" w:rsidR="00480ACE" w:rsidRPr="00A55FAC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Vállalkozói Díj 25%-ának megfelelő mértékű részszámla, 75%-os készültségi fok</w:t>
            </w:r>
            <w:r w:rsidR="00E71CE3"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elérése után</w:t>
            </w:r>
          </w:p>
          <w:p w14:paraId="46391492" w14:textId="5F8A6740" w:rsidR="00480ACE" w:rsidRPr="00A55FAC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>c)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ab/>
              <w:t xml:space="preserve">végszámla: Vállalkozói Díj </w:t>
            </w:r>
            <w:r w:rsidR="00CF5398" w:rsidRPr="00A55FAC">
              <w:rPr>
                <w:rFonts w:ascii="Garamond" w:hAnsi="Garamond"/>
                <w:color w:val="336699"/>
                <w:shd w:val="clear" w:color="auto" w:fill="FFFFFF"/>
              </w:rPr>
              <w:t>2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>5%-ának megfelelő mértékű végszámla</w:t>
            </w:r>
            <w:r w:rsidR="00E71CE3"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a munka 100</w:t>
            </w:r>
            <w:r w:rsidR="00A1663F"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%</w:t>
            </w:r>
            <w:r w:rsidR="00E71CE3" w:rsidRPr="00A55FAC">
              <w:rPr>
                <w:rFonts w:ascii="Garamond" w:hAnsi="Garamond"/>
                <w:color w:val="336699"/>
                <w:shd w:val="clear" w:color="auto" w:fill="FFFFFF"/>
              </w:rPr>
              <w:t>-os teljesítését követően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 a teljesítési igazolás szerződésszerű aláírása után.</w:t>
            </w:r>
          </w:p>
          <w:p w14:paraId="7BAB0759" w14:textId="77777777" w:rsidR="00846281" w:rsidRPr="00A55FAC" w:rsidRDefault="00846281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6764425B" w14:textId="7C0324EC" w:rsidR="00DD3F17" w:rsidRPr="00A55FAC" w:rsidRDefault="00DD3F17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Az ajánlattétel, az átutalás és az elszámolás pénzneme a magyar forint.</w:t>
            </w:r>
          </w:p>
          <w:p w14:paraId="1FAC5D7C" w14:textId="328B1951" w:rsidR="00480ACE" w:rsidRPr="00A55FAC" w:rsidRDefault="00480ACE" w:rsidP="00093897">
            <w:pPr>
              <w:outlineLvl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2E8A41B7" w14:textId="5DE05531" w:rsidR="00480ACE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 xml:space="preserve">Az előleg a </w:t>
            </w:r>
            <w:r w:rsidR="00A3084A" w:rsidRPr="00A55FAC">
              <w:rPr>
                <w:rFonts w:ascii="Garamond" w:hAnsi="Garamond"/>
                <w:color w:val="336699"/>
                <w:shd w:val="clear" w:color="auto" w:fill="FFFFFF"/>
              </w:rPr>
              <w:t>számlákból (rész-, és végszámla) egyenlő arányban kerül elszámolásra</w:t>
            </w:r>
            <w:r w:rsidRPr="00A55FAC">
              <w:rPr>
                <w:rFonts w:ascii="Garamond" w:hAnsi="Garamond"/>
                <w:color w:val="336699"/>
                <w:shd w:val="clear" w:color="auto" w:fill="FFFFFF"/>
              </w:rPr>
              <w:t>.</w:t>
            </w:r>
          </w:p>
          <w:p w14:paraId="0907D84F" w14:textId="77777777" w:rsidR="00480ACE" w:rsidRDefault="00480ACE" w:rsidP="00480ACE">
            <w:pPr>
              <w:outlineLvl w:val="0"/>
              <w:rPr>
                <w:rFonts w:ascii="Garamond" w:hAnsi="Garamond"/>
                <w:color w:val="336699"/>
                <w:shd w:val="clear" w:color="auto" w:fill="FFFFFF"/>
              </w:rPr>
            </w:pPr>
          </w:p>
          <w:p w14:paraId="0D02057A" w14:textId="77777777" w:rsidR="00480ACE" w:rsidRPr="00276787" w:rsidRDefault="00480ACE" w:rsidP="00480ACE">
            <w:pPr>
              <w:rPr>
                <w:rFonts w:ascii="Garamond" w:hAnsi="Garamond"/>
                <w:color w:val="336699"/>
                <w:shd w:val="clear" w:color="auto" w:fill="FFFFFF"/>
              </w:rPr>
            </w:pPr>
            <w:r w:rsidRPr="00276787">
              <w:rPr>
                <w:rFonts w:ascii="Garamond" w:hAnsi="Garamond"/>
                <w:color w:val="336699"/>
                <w:shd w:val="clear" w:color="auto" w:fill="FFFFFF"/>
              </w:rPr>
              <w:t>Az ajánlatkérő köteles fogadni és feldolgozni az olyan elektronikus számlákat, amelyek megfelelnek az EN 16931-1:2017 számú európai szabványnak és az Európai Bizottság által e szabványhoz az Európai Unió Hivatalos Lapjában közzétett szintaxislistának.</w:t>
            </w:r>
          </w:p>
          <w:p w14:paraId="0C529ADE" w14:textId="77777777" w:rsidR="00DD3F17" w:rsidRPr="00093897" w:rsidRDefault="00DD3F17" w:rsidP="00093897">
            <w:pP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77B8C47E" w14:textId="2A206909" w:rsidR="0037484E" w:rsidRPr="00480ACE" w:rsidRDefault="00DD3F17" w:rsidP="00480ACE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 kifizetéssel kapcsolatos részletes előírásokat a közbeszerzési dokumentumok részét képező szerződés</w:t>
            </w:r>
            <w:r w:rsidR="00A1663F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-</w:t>
            </w:r>
            <w:r w:rsidRPr="0009389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tervezet tartalmazza.</w:t>
            </w:r>
          </w:p>
        </w:tc>
      </w:tr>
    </w:tbl>
    <w:p w14:paraId="5699A211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lastRenderedPageBreak/>
        <w:t>IV. szakasz: Eljárás</w:t>
      </w:r>
    </w:p>
    <w:p w14:paraId="5EEB3DB1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IV.1) Meghatározás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5"/>
        <w:gridCol w:w="5010"/>
      </w:tblGrid>
      <w:tr w:rsidR="0037484E" w:rsidRPr="007A402F" w14:paraId="0741F168" w14:textId="77777777" w:rsidTr="00846281">
        <w:tc>
          <w:tcPr>
            <w:tcW w:w="0" w:type="auto"/>
            <w:gridSpan w:val="2"/>
            <w:hideMark/>
          </w:tcPr>
          <w:p w14:paraId="01AA8F23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IV.1.1) Az eljárás fajtája</w:t>
            </w:r>
          </w:p>
        </w:tc>
      </w:tr>
      <w:tr w:rsidR="0037484E" w:rsidRPr="007A402F" w14:paraId="4AD75060" w14:textId="77777777" w:rsidTr="00846281">
        <w:tc>
          <w:tcPr>
            <w:tcW w:w="4783" w:type="dxa"/>
            <w:hideMark/>
          </w:tcPr>
          <w:p w14:paraId="07D6E566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(klasszikus ajánlatkérők esetében)</w:t>
            </w:r>
          </w:p>
          <w:p w14:paraId="5A2B3084" w14:textId="16C3FBCE" w:rsidR="0037484E" w:rsidRPr="00127F54" w:rsidRDefault="00127F54" w:rsidP="00846281">
            <w:pPr>
              <w:spacing w:before="120" w:after="120"/>
              <w:jc w:val="left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127F54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X</w:t>
            </w:r>
            <w:r w:rsidR="0037484E" w:rsidRPr="00127F54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Nyílt eljárás</w:t>
            </w:r>
          </w:p>
          <w:p w14:paraId="45F12AEC" w14:textId="77777777" w:rsidR="0037484E" w:rsidRPr="007A402F" w:rsidRDefault="0037484E" w:rsidP="00846281">
            <w:pPr>
              <w:spacing w:before="120" w:after="120"/>
              <w:ind w:left="1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Gyorsított eljárás</w:t>
            </w:r>
          </w:p>
          <w:p w14:paraId="5008730E" w14:textId="77777777" w:rsidR="0037484E" w:rsidRPr="007A402F" w:rsidRDefault="0037484E" w:rsidP="00846281">
            <w:pPr>
              <w:spacing w:before="120" w:after="120"/>
              <w:ind w:left="56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Indokolás:</w:t>
            </w:r>
          </w:p>
          <w:p w14:paraId="6F32B953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Meghívásos eljárás</w:t>
            </w:r>
          </w:p>
          <w:p w14:paraId="07FC8BCF" w14:textId="77777777" w:rsidR="0037484E" w:rsidRPr="007A402F" w:rsidRDefault="0037484E" w:rsidP="00846281">
            <w:pPr>
              <w:spacing w:before="120" w:after="120"/>
              <w:ind w:left="56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Gyorsított eljárás</w:t>
            </w:r>
          </w:p>
          <w:p w14:paraId="7E8C31FA" w14:textId="77777777" w:rsidR="0037484E" w:rsidRPr="007A402F" w:rsidRDefault="0037484E" w:rsidP="00846281">
            <w:pPr>
              <w:spacing w:before="120" w:after="120"/>
              <w:ind w:left="56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Indokolás:</w:t>
            </w:r>
          </w:p>
          <w:p w14:paraId="63664359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Tárgyalásos eljárás</w:t>
            </w:r>
          </w:p>
          <w:p w14:paraId="65328D2A" w14:textId="77777777" w:rsidR="0037484E" w:rsidRPr="007A402F" w:rsidRDefault="0037484E" w:rsidP="00846281">
            <w:pPr>
              <w:spacing w:before="120" w:after="120"/>
              <w:ind w:left="1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Gyorsított eljárás</w:t>
            </w:r>
          </w:p>
          <w:p w14:paraId="5F5E6A4F" w14:textId="77777777" w:rsidR="0037484E" w:rsidRPr="007A402F" w:rsidRDefault="0037484E" w:rsidP="00846281">
            <w:pPr>
              <w:spacing w:before="120" w:after="120"/>
              <w:ind w:left="56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Indokolás:</w:t>
            </w:r>
          </w:p>
          <w:p w14:paraId="442141AC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Versenypárbeszéd</w:t>
            </w:r>
          </w:p>
          <w:p w14:paraId="4AE14FAE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Innovációs partnerség</w:t>
            </w:r>
          </w:p>
        </w:tc>
        <w:tc>
          <w:tcPr>
            <w:tcW w:w="5012" w:type="dxa"/>
            <w:hideMark/>
          </w:tcPr>
          <w:p w14:paraId="40BAAB24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(közszolgáltató ajánlatkérők esetében)</w:t>
            </w:r>
          </w:p>
          <w:p w14:paraId="54445141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Nyílt eljárás</w:t>
            </w:r>
          </w:p>
          <w:p w14:paraId="5BEE07E6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Meghívásos eljárás</w:t>
            </w:r>
          </w:p>
          <w:p w14:paraId="55B1E1DD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Tárgyalásos eljárás</w:t>
            </w:r>
          </w:p>
          <w:p w14:paraId="2432B6ED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Versenypárbeszéd</w:t>
            </w:r>
          </w:p>
          <w:p w14:paraId="48A05B31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 Innovációs partnerség</w:t>
            </w:r>
          </w:p>
        </w:tc>
      </w:tr>
      <w:tr w:rsidR="0037484E" w:rsidRPr="007A402F" w14:paraId="26C77D65" w14:textId="77777777" w:rsidTr="00846281">
        <w:tc>
          <w:tcPr>
            <w:tcW w:w="0" w:type="auto"/>
            <w:gridSpan w:val="2"/>
            <w:hideMark/>
          </w:tcPr>
          <w:p w14:paraId="41334A17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IV.1.2) </w:t>
            </w:r>
            <w:proofErr w:type="spellStart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Keretmegállapodásra</w:t>
            </w:r>
            <w:proofErr w:type="spellEnd"/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vagy dinamikus beszerzési rendszerre vonatkozó információk</w:t>
            </w:r>
          </w:p>
          <w:p w14:paraId="67AE3EAD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 A hirdetmény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keretmegállapodás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megkötésére irányul</w:t>
            </w:r>
          </w:p>
          <w:p w14:paraId="22A76963" w14:textId="77777777" w:rsidR="0037484E" w:rsidRPr="007A402F" w:rsidRDefault="0037484E" w:rsidP="00846281">
            <w:pPr>
              <w:spacing w:before="120" w:after="120"/>
              <w:ind w:left="3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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Keretmegállapodás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egy ajánlattevővel</w:t>
            </w:r>
          </w:p>
          <w:p w14:paraId="0B82BC15" w14:textId="77777777" w:rsidR="0037484E" w:rsidRPr="007A402F" w:rsidRDefault="0037484E" w:rsidP="00846281">
            <w:pPr>
              <w:spacing w:before="120" w:after="120"/>
              <w:ind w:left="3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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Keretmegállapodás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több ajánlattevővel</w:t>
            </w:r>
          </w:p>
          <w:p w14:paraId="31761F30" w14:textId="77777777" w:rsidR="0037484E" w:rsidRPr="007A402F" w:rsidRDefault="0037484E" w:rsidP="00846281">
            <w:pPr>
              <w:spacing w:before="120" w:after="120"/>
              <w:ind w:left="3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A </w:t>
            </w: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keretmegállapodás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résztvevőinek tervezett maximális létszáma: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2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</w:p>
          <w:p w14:paraId="1B9738B3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A hirdetmény dinamikus beszerzési rendszer létrehozására irányul</w:t>
            </w:r>
          </w:p>
          <w:p w14:paraId="1366F0B7" w14:textId="77777777" w:rsidR="0037484E" w:rsidRPr="007A402F" w:rsidRDefault="0037484E" w:rsidP="00846281">
            <w:pPr>
              <w:spacing w:before="120" w:after="120"/>
              <w:ind w:left="38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A dinamikus beszerzési rendszert további beszerzők is alkalmazhatják</w:t>
            </w:r>
          </w:p>
          <w:p w14:paraId="6F2D4D1B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Keretmegállapodások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esetén – klasszikus ajánlatkérők esetében a négy évet meghaladó időtartam indokolása:</w:t>
            </w:r>
          </w:p>
          <w:p w14:paraId="37F40097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proofErr w:type="spell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Keretmegállapodások</w:t>
            </w:r>
            <w:proofErr w:type="spell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esetén – közszolgáltató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ajánlatkérők esetében a nyolc évet meghaladó időtartam indokolása:</w:t>
            </w:r>
          </w:p>
        </w:tc>
      </w:tr>
      <w:tr w:rsidR="0037484E" w:rsidRPr="007A402F" w14:paraId="596B614D" w14:textId="77777777" w:rsidTr="00846281">
        <w:tc>
          <w:tcPr>
            <w:tcW w:w="0" w:type="auto"/>
            <w:gridSpan w:val="2"/>
            <w:hideMark/>
          </w:tcPr>
          <w:p w14:paraId="4E224BAE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IV.1.3 Elektronikus árlejtésre vonatkozó információk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2</w:t>
            </w:r>
          </w:p>
          <w:p w14:paraId="14BE30B3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 Elektronikus árlejtést fognak alkalmazni</w:t>
            </w:r>
          </w:p>
          <w:p w14:paraId="5F5EF860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További információk az elektronikus árlejtésről:</w:t>
            </w:r>
          </w:p>
        </w:tc>
      </w:tr>
    </w:tbl>
    <w:p w14:paraId="0780AC6E" w14:textId="77777777" w:rsidR="0037484E" w:rsidRDefault="0037484E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386A3A4A" w14:textId="77777777" w:rsidR="00A1663F" w:rsidRDefault="00A1663F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5E4AEF50" w14:textId="77777777" w:rsidR="00A1663F" w:rsidRDefault="00A1663F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7BCBC65F" w14:textId="77777777" w:rsidR="00A1663F" w:rsidRPr="007A402F" w:rsidRDefault="00A1663F" w:rsidP="0037484E">
      <w:pPr>
        <w:spacing w:before="120" w:after="120"/>
        <w:jc w:val="left"/>
        <w:rPr>
          <w:rFonts w:eastAsia="Times New Roman"/>
          <w:b/>
          <w:bCs/>
          <w:sz w:val="22"/>
          <w:szCs w:val="22"/>
          <w:lang w:eastAsia="hu-HU"/>
        </w:rPr>
      </w:pPr>
    </w:p>
    <w:p w14:paraId="6E63A930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lastRenderedPageBreak/>
        <w:t>IV.2) Adminisztratív információk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37484E" w:rsidRPr="007A402F" w14:paraId="066DAEB6" w14:textId="77777777" w:rsidTr="00846281">
        <w:tc>
          <w:tcPr>
            <w:tcW w:w="0" w:type="auto"/>
            <w:hideMark/>
          </w:tcPr>
          <w:p w14:paraId="005E7D3E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IV.2.1) Az adott eljárásra vonatkozó korábbi közzététel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2</w:t>
            </w:r>
          </w:p>
          <w:p w14:paraId="43F76F17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A hirdetmény száma a Közbeszerzési Értesítőben: </w:t>
            </w:r>
            <w:r w:rsidRPr="007A402F">
              <w:rPr>
                <w:rFonts w:eastAsia="Times New Roman"/>
                <w:sz w:val="22"/>
                <w:szCs w:val="22"/>
                <w:vertAlign w:val="superscript"/>
                <w:lang w:eastAsia="hu-HU"/>
              </w:rPr>
              <w:t>1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[ ][ ][ ][ ]/[ ][ ][ ][ ]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</w:t>
            </w:r>
            <w:proofErr w:type="spellStart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KÉ-szám</w:t>
            </w:r>
            <w:proofErr w:type="spellEnd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/évszám)</w:t>
            </w:r>
          </w:p>
        </w:tc>
      </w:tr>
      <w:tr w:rsidR="0037484E" w:rsidRPr="007A402F" w14:paraId="086AAC8F" w14:textId="77777777" w:rsidTr="00846281">
        <w:tc>
          <w:tcPr>
            <w:tcW w:w="0" w:type="auto"/>
            <w:hideMark/>
          </w:tcPr>
          <w:p w14:paraId="38D42674" w14:textId="2EBB98FF" w:rsidR="0037484E" w:rsidRPr="008F003A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IV.2.2) Ajánlattételi vagy </w:t>
            </w:r>
            <w:r w:rsidRPr="008F003A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részvételi határidő</w:t>
            </w:r>
            <w:r w:rsidR="00141326" w:rsidRPr="008F003A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 </w:t>
            </w:r>
          </w:p>
          <w:p w14:paraId="3DD3FBAB" w14:textId="0DCF73EB" w:rsidR="0037484E" w:rsidRPr="007A402F" w:rsidRDefault="0037484E" w:rsidP="00D0617B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8F003A">
              <w:rPr>
                <w:rFonts w:eastAsia="Times New Roman"/>
                <w:sz w:val="22"/>
                <w:szCs w:val="22"/>
                <w:lang w:eastAsia="hu-HU"/>
              </w:rPr>
              <w:t xml:space="preserve">Dátum: </w:t>
            </w:r>
            <w:r w:rsidR="00A1663F" w:rsidRPr="008F003A">
              <w:rPr>
                <w:rFonts w:eastAsia="Times New Roman"/>
                <w:sz w:val="22"/>
                <w:szCs w:val="22"/>
                <w:lang w:eastAsia="hu-HU"/>
              </w:rPr>
              <w:t>2022. 02. 1</w:t>
            </w:r>
            <w:r w:rsidR="00D0617B" w:rsidRPr="008F003A">
              <w:rPr>
                <w:rFonts w:eastAsia="Times New Roman"/>
                <w:sz w:val="22"/>
                <w:szCs w:val="22"/>
                <w:lang w:eastAsia="hu-HU"/>
              </w:rPr>
              <w:t>1</w:t>
            </w:r>
            <w:r w:rsidR="00A1663F" w:rsidRPr="008F003A">
              <w:rPr>
                <w:rFonts w:eastAsia="Times New Roman"/>
                <w:sz w:val="22"/>
                <w:szCs w:val="22"/>
                <w:lang w:eastAsia="hu-HU"/>
              </w:rPr>
              <w:t>.</w:t>
            </w:r>
            <w:r w:rsidRPr="008F003A">
              <w:rPr>
                <w:rFonts w:eastAsia="Times New Roman"/>
                <w:color w:val="4472C4" w:themeColor="accent1"/>
                <w:sz w:val="22"/>
                <w:szCs w:val="22"/>
                <w:lang w:eastAsia="hu-HU"/>
              </w:rPr>
              <w:t xml:space="preserve"> </w:t>
            </w:r>
            <w:r w:rsidRPr="008F003A">
              <w:rPr>
                <w:rFonts w:eastAsia="Times New Roman"/>
                <w:sz w:val="22"/>
                <w:szCs w:val="22"/>
                <w:lang w:eastAsia="hu-HU"/>
              </w:rPr>
              <w:t xml:space="preserve">Helyi idő: </w:t>
            </w:r>
            <w:r w:rsidR="00A1663F" w:rsidRPr="008F003A">
              <w:rPr>
                <w:rFonts w:eastAsia="Times New Roman"/>
                <w:sz w:val="22"/>
                <w:szCs w:val="22"/>
                <w:lang w:eastAsia="hu-HU"/>
              </w:rPr>
              <w:t>11</w:t>
            </w:r>
            <w:r w:rsidRPr="008F003A">
              <w:rPr>
                <w:rFonts w:eastAsia="Times New Roman"/>
                <w:sz w:val="22"/>
                <w:szCs w:val="22"/>
                <w:lang w:eastAsia="hu-HU"/>
              </w:rPr>
              <w:t>:</w:t>
            </w:r>
            <w:r w:rsidR="00141326" w:rsidRPr="008F003A">
              <w:rPr>
                <w:rFonts w:eastAsia="Times New Roman"/>
                <w:sz w:val="22"/>
                <w:szCs w:val="22"/>
                <w:lang w:eastAsia="hu-HU"/>
              </w:rPr>
              <w:t>00</w:t>
            </w:r>
            <w:bookmarkStart w:id="4" w:name="_GoBack"/>
            <w:bookmarkEnd w:id="4"/>
          </w:p>
        </w:tc>
      </w:tr>
      <w:tr w:rsidR="0037484E" w:rsidRPr="007A402F" w14:paraId="3B0EAEC6" w14:textId="77777777" w:rsidTr="00846281">
        <w:tc>
          <w:tcPr>
            <w:tcW w:w="0" w:type="auto"/>
            <w:hideMark/>
          </w:tcPr>
          <w:p w14:paraId="7F6AB0D4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IV.2.3) Azok a nyelvek, amelyeken az ajánlatok vagy részvételi jelentkezések benyújthatók: </w:t>
            </w:r>
            <w:r w:rsidRPr="007A402F">
              <w:rPr>
                <w:sz w:val="22"/>
                <w:szCs w:val="22"/>
                <w:shd w:val="clear" w:color="auto" w:fill="FFFFFF"/>
              </w:rPr>
              <w:t>HU</w:t>
            </w:r>
          </w:p>
        </w:tc>
      </w:tr>
      <w:tr w:rsidR="0037484E" w:rsidRPr="007A402F" w14:paraId="6F653743" w14:textId="77777777" w:rsidTr="00846281">
        <w:tc>
          <w:tcPr>
            <w:tcW w:w="0" w:type="auto"/>
            <w:hideMark/>
          </w:tcPr>
          <w:p w14:paraId="3D53C237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IV.2.4) Az ajánlati kötöttség minimális időtartama: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(ajánlati felhívás esetében)</w:t>
            </w:r>
          </w:p>
          <w:p w14:paraId="514E7B1E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Az ajánlati kötöttség végső dátuma: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</w:t>
            </w:r>
            <w:proofErr w:type="spellStart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éééé</w:t>
            </w:r>
            <w:proofErr w:type="spellEnd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/</w:t>
            </w:r>
            <w:proofErr w:type="spellStart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hh</w:t>
            </w:r>
            <w:proofErr w:type="spellEnd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/</w:t>
            </w:r>
            <w:proofErr w:type="spellStart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nn</w:t>
            </w:r>
            <w:proofErr w:type="spellEnd"/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)</w:t>
            </w:r>
          </w:p>
          <w:p w14:paraId="4AD5FE25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>vagy</w:t>
            </w:r>
          </w:p>
          <w:p w14:paraId="0E83BFE4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Az időtartam hónapban: </w:t>
            </w:r>
            <w:proofErr w:type="gramStart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>[ ]</w:t>
            </w:r>
            <w:proofErr w:type="gramEnd"/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vagy napban: </w:t>
            </w:r>
            <w:r w:rsidRPr="00EF7664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60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(az ajánlattételi határidő lejártától számítva)</w:t>
            </w:r>
          </w:p>
        </w:tc>
      </w:tr>
      <w:tr w:rsidR="0037484E" w:rsidRPr="007A402F" w14:paraId="5F8476F4" w14:textId="77777777" w:rsidTr="00846281">
        <w:tc>
          <w:tcPr>
            <w:tcW w:w="0" w:type="auto"/>
            <w:hideMark/>
          </w:tcPr>
          <w:p w14:paraId="1905F057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IV.2.5) Az ajánlatok vagy részvételi jelentkezések felbontásának feltételei</w:t>
            </w:r>
          </w:p>
          <w:p w14:paraId="13E1FBC5" w14:textId="77777777" w:rsidR="0037484E" w:rsidRPr="007A402F" w:rsidRDefault="0037484E" w:rsidP="00846281">
            <w:pPr>
              <w:pStyle w:val="NormlWeb"/>
              <w:spacing w:before="60" w:beforeAutospacing="0" w:after="60" w:afterAutospacing="0" w:line="276" w:lineRule="auto"/>
              <w:jc w:val="both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proofErr w:type="spellStart"/>
            <w:r w:rsidRPr="007A402F">
              <w:rPr>
                <w:sz w:val="22"/>
                <w:szCs w:val="22"/>
              </w:rPr>
              <w:t>Datum</w:t>
            </w:r>
            <w:proofErr w:type="spellEnd"/>
            <w:proofErr w:type="gramStart"/>
            <w:r w:rsidRPr="007A402F">
              <w:rPr>
                <w:sz w:val="22"/>
                <w:szCs w:val="22"/>
              </w:rPr>
              <w:t xml:space="preserve">: </w:t>
            </w:r>
            <w:r w:rsidRPr="007A402F">
              <w:rPr>
                <w:i/>
                <w:iCs/>
                <w:sz w:val="22"/>
                <w:szCs w:val="22"/>
              </w:rPr>
              <w:t>…</w:t>
            </w:r>
            <w:proofErr w:type="gramEnd"/>
            <w:r w:rsidRPr="007A402F">
              <w:rPr>
                <w:i/>
                <w:iCs/>
                <w:sz w:val="22"/>
                <w:szCs w:val="22"/>
              </w:rPr>
              <w:t xml:space="preserve">……………. </w:t>
            </w:r>
            <w:r w:rsidRPr="007A402F">
              <w:rPr>
                <w:sz w:val="22"/>
                <w:szCs w:val="22"/>
              </w:rPr>
              <w:t>Helyi idő</w:t>
            </w:r>
            <w:proofErr w:type="gramStart"/>
            <w:r w:rsidRPr="007A402F">
              <w:rPr>
                <w:sz w:val="22"/>
                <w:szCs w:val="22"/>
              </w:rPr>
              <w:t xml:space="preserve">: </w:t>
            </w:r>
            <w:r w:rsidRPr="007A402F">
              <w:rPr>
                <w:i/>
                <w:iCs/>
                <w:sz w:val="22"/>
                <w:szCs w:val="22"/>
              </w:rPr>
              <w:t>…</w:t>
            </w:r>
            <w:proofErr w:type="gramEnd"/>
            <w:r w:rsidRPr="007A402F">
              <w:rPr>
                <w:i/>
                <w:iCs/>
                <w:sz w:val="22"/>
                <w:szCs w:val="22"/>
              </w:rPr>
              <w:t xml:space="preserve">………… </w:t>
            </w:r>
          </w:p>
        </w:tc>
      </w:tr>
    </w:tbl>
    <w:p w14:paraId="77D445EE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  <w:r w:rsidRPr="007A402F">
        <w:rPr>
          <w:rFonts w:eastAsia="Times New Roman"/>
          <w:b/>
          <w:bCs/>
          <w:sz w:val="22"/>
          <w:szCs w:val="22"/>
          <w:lang w:eastAsia="hu-HU"/>
        </w:rPr>
        <w:t>V. szakasz: Kiegészítő információk</w:t>
      </w:r>
    </w:p>
    <w:tbl>
      <w:tblPr>
        <w:tblW w:w="9795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5"/>
      </w:tblGrid>
      <w:tr w:rsidR="0037484E" w:rsidRPr="007A402F" w14:paraId="0A245ACA" w14:textId="77777777" w:rsidTr="00846281">
        <w:tc>
          <w:tcPr>
            <w:tcW w:w="0" w:type="auto"/>
            <w:hideMark/>
          </w:tcPr>
          <w:p w14:paraId="258BACC1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V.1) Az ajánlati biztosíték</w:t>
            </w:r>
            <w:r w:rsidRPr="007A402F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 w:rsidRPr="007A402F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(ajánlati felhívás esetében)</w:t>
            </w:r>
          </w:p>
          <w:p w14:paraId="13283FCD" w14:textId="6B11AF0E" w:rsidR="0037484E" w:rsidRPr="00A3084A" w:rsidRDefault="003507B7" w:rsidP="00A55FAC">
            <w:pPr>
              <w:spacing w:before="120" w:after="120"/>
              <w:jc w:val="left"/>
              <w:rPr>
                <w:rFonts w:eastAsia="Times New Roman"/>
                <w:sz w:val="20"/>
                <w:szCs w:val="20"/>
                <w:lang w:eastAsia="hu-HU"/>
              </w:rPr>
            </w:pPr>
            <w:r w:rsidRPr="00A55FAC">
              <w:rPr>
                <w:rFonts w:eastAsia="DejaVuSerif"/>
                <w:color w:val="0070C0"/>
                <w:sz w:val="22"/>
                <w:szCs w:val="20"/>
              </w:rPr>
              <w:t>Az eljárásban való részvétel ajánlati biztosíték adásához kötött</w:t>
            </w:r>
            <w:proofErr w:type="gramStart"/>
            <w:r w:rsidRPr="00A55FAC">
              <w:rPr>
                <w:rFonts w:eastAsia="DejaVuSerif"/>
                <w:color w:val="0070C0"/>
                <w:sz w:val="22"/>
                <w:szCs w:val="20"/>
              </w:rPr>
              <w:t>:          Nem</w:t>
            </w:r>
            <w:proofErr w:type="gramEnd"/>
          </w:p>
        </w:tc>
      </w:tr>
      <w:tr w:rsidR="0037484E" w:rsidRPr="007A402F" w14:paraId="7A79445D" w14:textId="77777777" w:rsidTr="00846281">
        <w:tc>
          <w:tcPr>
            <w:tcW w:w="0" w:type="auto"/>
            <w:hideMark/>
          </w:tcPr>
          <w:p w14:paraId="2FBBBD84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V.2) További információk:</w:t>
            </w:r>
          </w:p>
          <w:p w14:paraId="50624B64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1. Ajánlatkérő jelen közbeszerzési eljárásra a Kbt. 4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 § (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) bekezdés alapján az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EKR-ben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történő lebonyolítást írja elő. Tárgyi eljárásban való részvétel előfeltétele az EKR rendszerben történő ajánlattevői regisztráció összhangban a 424/2017. (XII.19.) Korm. r. rendelkezéseivel.</w:t>
            </w:r>
          </w:p>
          <w:p w14:paraId="65F31E62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3AE17463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2. Az ajánlatok felbontása:</w:t>
            </w:r>
          </w:p>
          <w:p w14:paraId="763ACB2F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Az ajánlattételi határidőig beérkezett ajánlatok bontását az EKR automatikusan, az ajánlattételi határidő lejártát követően, kettő órával később kezdi meg. A bontás szabályait a 424/2017. (XII.19.) Korm. r. 15-16. § tartalmazza.</w:t>
            </w:r>
          </w:p>
          <w:p w14:paraId="4891C661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1B745E44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3. Az ajánlat benyújtásának címe és módja:</w:t>
            </w:r>
          </w:p>
          <w:p w14:paraId="5A51272D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Az ajánlatot az EKR rendszeren keresztül, az ajánlattételi határidő lejártáig kell benyújtani.</w:t>
            </w:r>
          </w:p>
          <w:p w14:paraId="7658C655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Ajánlatkérő az ajánlattételi határidő meghosszabbítása esetén a Kbt. 52. § (4)-(5) bekezdései, illetve szükség esetén a 424/2017. Korm. r.16. § (2)-(3) bekezdés szerint jár el.</w:t>
            </w:r>
          </w:p>
          <w:p w14:paraId="46BD94AD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71FD9CF7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4. Az ajánlatnak tartalmazni kell a Kbt. 66. § (2) bekezdés szerinti nyilatkozatot, melyet az EKR rendszerben rendelkezésre álló űrlap kitöltésével kell megtenni. </w:t>
            </w:r>
          </w:p>
          <w:p w14:paraId="297BB40E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09B74E89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5. Kbt. 66. § (6)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bek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 a)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-b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) szerinti nyilatkozatot az ajánlatnak tartalmazni kell (nemleges nyilatkozat is szükséges)</w:t>
            </w:r>
          </w:p>
          <w:p w14:paraId="584CA241" w14:textId="77777777" w:rsidR="0037484E" w:rsidRPr="007A402F" w:rsidRDefault="0037484E" w:rsidP="0084628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shd w:val="clear" w:color="auto" w:fill="FFFFFF"/>
                <w:lang w:eastAsia="hu-HU"/>
              </w:rPr>
            </w:pPr>
          </w:p>
          <w:p w14:paraId="0EF97234" w14:textId="2364B72C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6. EKR üzemeltetését és fe</w:t>
            </w:r>
            <w:r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nntartását a 27/2017. (XI.6.) </w:t>
            </w:r>
            <w:proofErr w:type="spellStart"/>
            <w:r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MvM</w:t>
            </w:r>
            <w:proofErr w:type="spellEnd"/>
            <w:r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rend. alapján a</w:t>
            </w:r>
            <w:r w:rsid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z </w:t>
            </w:r>
            <w:r w:rsidR="003507B7"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ÚJ Világ Nonprofit Szolgáltató</w:t>
            </w:r>
            <w:r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Kft. végzi</w:t>
            </w:r>
            <w:r w:rsidR="00A55FAC" w:rsidRPr="00A55FAC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129EFF86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78BD67DB" w14:textId="34762DF3" w:rsidR="0037484E" w:rsidRPr="00A55FAC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strike/>
                <w:color w:val="0070C0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7. EKR használatával kapcsolatos útmutató elérhető: https://ekr.gov.hu/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portal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/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tamogatas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; illetve </w:t>
            </w:r>
            <w:r w:rsidR="00A55FAC">
              <w:rPr>
                <w:color w:val="0070C0"/>
                <w:shd w:val="clear" w:color="auto" w:fill="FFFFFF"/>
              </w:rPr>
              <w:t>https://ujvilag.gov.hu</w:t>
            </w:r>
          </w:p>
          <w:p w14:paraId="154634E5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4168043E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8. Az ajánlathoz csatolni kell az ajánlatot aláíró és/vagy nyilatkozatot tevő, kötelezettséget vállaló cégjegyzésre jogosult </w:t>
            </w:r>
            <w:proofErr w:type="gram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személy(</w:t>
            </w:r>
            <w:proofErr w:type="spellStart"/>
            <w:proofErr w:type="gram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ek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) aláírási címpéldányát vagy a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Ctv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 9. §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-a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szerinti aláírási mintát. Amennyiben az aláíró személy nem cégjegyzésre jogosult az adott gazdasági szereplőnél, úgy csatolni kell az adott gazdasági szereplőnél cégjegyzésre jogosult vezető tisztségviselő által aláírt 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lastRenderedPageBreak/>
              <w:t>meghatalmazást legalább teljes bizonyító erejű magánokirati formában, melynek tartalmaznia kell a meghatalmazott aláírását/szignómintáját is.</w:t>
            </w:r>
          </w:p>
          <w:p w14:paraId="4E778A33" w14:textId="77777777" w:rsidR="0037484E" w:rsidRPr="007A402F" w:rsidRDefault="0037484E" w:rsidP="0084628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shd w:val="clear" w:color="auto" w:fill="FFFFFF"/>
                <w:lang w:eastAsia="hu-HU"/>
              </w:rPr>
            </w:pPr>
          </w:p>
          <w:p w14:paraId="5AFDB1E6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9. Az ajánlatnak a Kbt. 66. § (5)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bek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 alapján felolvasólapot kell tartalmaznia, amelyet az ajánlattevő az elektronikus űrlap formájában köteles az ajánlat részeként kitölteni.</w:t>
            </w:r>
          </w:p>
          <w:p w14:paraId="519EA98F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4EDBA718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10. Ajánlatkérő kizárja projekttársaság létrehozását.</w:t>
            </w:r>
          </w:p>
          <w:p w14:paraId="5BA61CE2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0EAEE9CA" w14:textId="205FED71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11. </w:t>
            </w:r>
            <w:r w:rsidR="000767BA"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Az ajánlatok értékelési szempontok szerinti tartalmi elemeinek értékelése során adható pontszám alsó és felső határa: 0-100. Az értékelési szempontok esetében adható pontszámok módszerének meghatározása: </w:t>
            </w:r>
            <w:r w:rsidR="000767BA" w:rsidRPr="00643CF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1.) ár – arányosítás, 2.) környezetvédelmi szempontok és 3.) </w:t>
            </w:r>
            <w:r w:rsidR="005F6BBF" w:rsidRPr="00643CF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jótállás</w:t>
            </w:r>
            <w:r w:rsidR="000767BA" w:rsidRPr="00643CF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- egyenes arányosítás.</w:t>
            </w:r>
            <w:r w:rsidR="000767BA"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Részletek az útmutatóban.</w:t>
            </w:r>
          </w:p>
          <w:p w14:paraId="674B9C22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5AB1B591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12. Közös ajánlattétel esetén az ajánlatban utalni kell az ajánlattételi szándékra, s meg kell nevezni a közös ajánlattevőket, illetve a Kbt. 35. § (2)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bek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 nyomán az ajánlattevők kötelesek maguk közül egy, a közbeszerzési eljárásban a közös ajánlattevők nevében eljárni jogosult képviselőt megjelölni és a közös ajánlattevők képviseletére meghatalmazni.</w:t>
            </w:r>
          </w:p>
          <w:p w14:paraId="6E8F671F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A meghatalmazásnak ki kell terjednie arra, hogy a közös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ajánlattevo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̋k képviseletére jogosult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ajánlattevo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̋ adott eljárás tekintetében az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EKR-ben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elektronikus úton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teendo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̋ nyilatkozatok megtételekor az egyes közös 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ajánlattevo</w:t>
            </w:r>
            <w:proofErr w:type="spell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̋k képviseletében eljárhat. </w:t>
            </w:r>
          </w:p>
          <w:p w14:paraId="0E73FC3D" w14:textId="77777777" w:rsidR="0037484E" w:rsidRPr="007A402F" w:rsidRDefault="0037484E" w:rsidP="0084628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shd w:val="clear" w:color="auto" w:fill="FFFFFF"/>
                <w:lang w:eastAsia="hu-HU"/>
              </w:rPr>
            </w:pPr>
          </w:p>
          <w:p w14:paraId="12A059E6" w14:textId="0E66C372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13. A nyertes ajánlattevő </w:t>
            </w:r>
            <w:r w:rsidR="000765D7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valamennyi rész esetében </w:t>
            </w:r>
            <w:r w:rsidR="00B73E6B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külön – külön 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 322/2015. (X.30.) Korm. r. 26. §</w:t>
            </w:r>
            <w:proofErr w:type="spell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-</w:t>
            </w:r>
            <w:proofErr w:type="gramStart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</w:t>
            </w:r>
            <w:proofErr w:type="spellEnd"/>
            <w:proofErr w:type="gramEnd"/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alapján legkésőbb a szerződéskötés id</w:t>
            </w:r>
            <w:r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őpontjára köteles a szerződés teljes időtartamára</w:t>
            </w:r>
            <w:r w:rsidR="00123743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legalább </w:t>
            </w:r>
            <w:r w:rsidR="006261B2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7</w:t>
            </w:r>
            <w:r w:rsidR="008C0D10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</w:t>
            </w:r>
            <w:r w:rsidR="00123743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.000.000,- Ft/év</w:t>
            </w:r>
            <w:r w:rsidR="00480ACE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, </w:t>
            </w:r>
            <w:r w:rsidR="006261B2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3</w:t>
            </w:r>
            <w:r w:rsidR="00B23139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5</w:t>
            </w:r>
            <w:r w:rsidR="003B1C41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.0</w:t>
            </w:r>
            <w:r w:rsidR="00123743" w:rsidRPr="00B75B7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00.000,- Ft/kár összegű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kártérítési limitű, általános- és szolgáltatói, építés-szerelési felelősségbiztosítás megkötésére és fenntartására. </w:t>
            </w:r>
            <w:r w:rsidR="00E74CB1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Abban az esetben, ha egy ajánlattevő több részben kerül nyertesként kihirdetésre, úgy biztosítani kell azt, hogy a felelősségbiztosítás mértéke valamennyi helyszín esetében biztosítva legyen</w:t>
            </w:r>
            <w:r w:rsidR="000C58C8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</w:t>
            </w:r>
          </w:p>
          <w:p w14:paraId="2CA586B3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652D5911" w14:textId="15E4E45E" w:rsidR="0037484E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14. Ajánlattevőnek ajánlata részeként csatolnia kell a rendelkezésre bocsátott költségvetést kitöltött formában. Az árazott költségvetés a 322/2015. (X.30.) Korm. r. 24. § (1) bekezdésére figyelemmel szakmai ajánlatnak minősül.</w:t>
            </w:r>
          </w:p>
          <w:p w14:paraId="17BECB6D" w14:textId="77777777" w:rsidR="0037484E" w:rsidRPr="00943012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0D8EDDCE" w14:textId="410B6789" w:rsidR="0037484E" w:rsidRDefault="0037484E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</w:t>
            </w:r>
            <w:r w:rsidR="0061551A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5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 Ajánlatkérő alkalmazza a Kbt. 81. § (4)-(5) bekezdését és nem alkalmazza a Kbt. 75. § (2) bekezdés e) pontja szerinti eredménytelenségi okot.</w:t>
            </w:r>
          </w:p>
          <w:p w14:paraId="6D8FD719" w14:textId="423BBC3D" w:rsidR="00EA04D7" w:rsidRDefault="00EA04D7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</w:p>
          <w:p w14:paraId="08B14834" w14:textId="6E4C55B7" w:rsidR="00EA04D7" w:rsidRPr="00943012" w:rsidRDefault="00EA04D7" w:rsidP="00846281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</w:pP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6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. Felelős akkreditált közbeszerzési szaktanácsadó: dr. </w:t>
            </w:r>
            <w:proofErr w:type="spellStart"/>
            <w:r w:rsidR="00480AC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Lévay-Nagy</w:t>
            </w:r>
            <w:proofErr w:type="spellEnd"/>
            <w:r w:rsidR="00480AC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Karolina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 xml:space="preserve"> (0</w:t>
            </w:r>
            <w:r w:rsidR="00480AC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1342</w:t>
            </w:r>
            <w:r w:rsidRPr="00943012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)</w:t>
            </w:r>
            <w:r w:rsidR="00480ACE">
              <w:rPr>
                <w:rFonts w:ascii="Helvetica" w:hAnsi="Helvetica" w:cs="Helvetica"/>
                <w:color w:val="336699"/>
                <w:sz w:val="21"/>
                <w:szCs w:val="21"/>
                <w:shd w:val="clear" w:color="auto" w:fill="FFFFFF"/>
              </w:rPr>
              <w:t>.</w:t>
            </w:r>
          </w:p>
          <w:p w14:paraId="2E61D6C6" w14:textId="77777777" w:rsidR="0037484E" w:rsidRPr="007A402F" w:rsidRDefault="0037484E" w:rsidP="00811074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shd w:val="clear" w:color="auto" w:fill="FFFFFF"/>
                <w:lang w:eastAsia="hu-HU"/>
              </w:rPr>
            </w:pPr>
          </w:p>
        </w:tc>
      </w:tr>
      <w:tr w:rsidR="0037484E" w:rsidRPr="007A402F" w14:paraId="614182D3" w14:textId="77777777" w:rsidTr="00846281">
        <w:tc>
          <w:tcPr>
            <w:tcW w:w="0" w:type="auto"/>
          </w:tcPr>
          <w:p w14:paraId="1940AD35" w14:textId="77777777" w:rsidR="0037484E" w:rsidRPr="007A402F" w:rsidRDefault="0037484E" w:rsidP="00846281">
            <w:pPr>
              <w:spacing w:before="120" w:after="120"/>
              <w:jc w:val="left"/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</w:pPr>
            <w:r w:rsidRPr="007A402F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lastRenderedPageBreak/>
              <w:t>V.3) Ajánlattételi felhívás megküldésének dátuma:</w:t>
            </w:r>
          </w:p>
        </w:tc>
      </w:tr>
    </w:tbl>
    <w:p w14:paraId="2944B7D0" w14:textId="77777777" w:rsidR="0037484E" w:rsidRPr="007A402F" w:rsidRDefault="0037484E" w:rsidP="0037484E">
      <w:pPr>
        <w:spacing w:before="120" w:after="120"/>
        <w:jc w:val="left"/>
        <w:rPr>
          <w:rFonts w:eastAsia="Times New Roman"/>
          <w:sz w:val="22"/>
          <w:szCs w:val="22"/>
          <w:lang w:eastAsia="hu-HU"/>
        </w:rPr>
      </w:pPr>
    </w:p>
    <w:sectPr w:rsidR="0037484E" w:rsidRPr="007A402F" w:rsidSect="008462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-OneByteIdentityH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3920DA"/>
    <w:multiLevelType w:val="hybridMultilevel"/>
    <w:tmpl w:val="D6284DBE"/>
    <w:lvl w:ilvl="0" w:tplc="FFFFFFFF">
      <w:start w:val="1"/>
      <w:numFmt w:val="ideographDigital"/>
      <w:lvlText w:val=""/>
      <w:lvlJc w:val="left"/>
    </w:lvl>
    <w:lvl w:ilvl="1" w:tplc="81EDA862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CF0C14"/>
    <w:multiLevelType w:val="hybridMultilevel"/>
    <w:tmpl w:val="E6EEE68A"/>
    <w:lvl w:ilvl="0" w:tplc="C194BC4A">
      <w:start w:val="2"/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65F35"/>
    <w:multiLevelType w:val="hybridMultilevel"/>
    <w:tmpl w:val="0826EA16"/>
    <w:lvl w:ilvl="0" w:tplc="C472F11A">
      <w:start w:val="25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EA0566"/>
    <w:multiLevelType w:val="hybridMultilevel"/>
    <w:tmpl w:val="E7EE4F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3111E"/>
    <w:multiLevelType w:val="hybridMultilevel"/>
    <w:tmpl w:val="FCE2249C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94270A"/>
    <w:multiLevelType w:val="hybridMultilevel"/>
    <w:tmpl w:val="A41AF4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105B95"/>
    <w:multiLevelType w:val="hybridMultilevel"/>
    <w:tmpl w:val="FCE2249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A8D1E59"/>
    <w:multiLevelType w:val="hybridMultilevel"/>
    <w:tmpl w:val="7E6677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861A8"/>
    <w:multiLevelType w:val="hybridMultilevel"/>
    <w:tmpl w:val="A1F00570"/>
    <w:lvl w:ilvl="0" w:tplc="0F28CAE0">
      <w:start w:val="289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562455"/>
    <w:multiLevelType w:val="hybridMultilevel"/>
    <w:tmpl w:val="2B34EFD4"/>
    <w:lvl w:ilvl="0" w:tplc="9B3E2642">
      <w:start w:val="4"/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6E7BA0"/>
    <w:multiLevelType w:val="hybridMultilevel"/>
    <w:tmpl w:val="D590A8F6"/>
    <w:lvl w:ilvl="0" w:tplc="5CDA80E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9961DE"/>
    <w:multiLevelType w:val="hybridMultilevel"/>
    <w:tmpl w:val="8064168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7"/>
  </w:num>
  <w:num w:numId="6">
    <w:abstractNumId w:val="12"/>
  </w:num>
  <w:num w:numId="7">
    <w:abstractNumId w:val="8"/>
  </w:num>
  <w:num w:numId="8">
    <w:abstractNumId w:val="9"/>
  </w:num>
  <w:num w:numId="9">
    <w:abstractNumId w:val="11"/>
  </w:num>
  <w:num w:numId="10">
    <w:abstractNumId w:val="2"/>
  </w:num>
  <w:num w:numId="11">
    <w:abstractNumId w:val="5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84E"/>
    <w:rsid w:val="000052DC"/>
    <w:rsid w:val="00010CE3"/>
    <w:rsid w:val="000120AB"/>
    <w:rsid w:val="00017A9C"/>
    <w:rsid w:val="00023DBA"/>
    <w:rsid w:val="000339B3"/>
    <w:rsid w:val="00034E00"/>
    <w:rsid w:val="00036885"/>
    <w:rsid w:val="00043836"/>
    <w:rsid w:val="00050B93"/>
    <w:rsid w:val="0006472D"/>
    <w:rsid w:val="0007130E"/>
    <w:rsid w:val="00071D66"/>
    <w:rsid w:val="000765D7"/>
    <w:rsid w:val="000767BA"/>
    <w:rsid w:val="00085540"/>
    <w:rsid w:val="00093897"/>
    <w:rsid w:val="000A04DA"/>
    <w:rsid w:val="000A1F8A"/>
    <w:rsid w:val="000A5C43"/>
    <w:rsid w:val="000B01B3"/>
    <w:rsid w:val="000B23EB"/>
    <w:rsid w:val="000B37D7"/>
    <w:rsid w:val="000B642F"/>
    <w:rsid w:val="000B6B00"/>
    <w:rsid w:val="000C58C8"/>
    <w:rsid w:val="000C6B59"/>
    <w:rsid w:val="000E2E0A"/>
    <w:rsid w:val="000E4868"/>
    <w:rsid w:val="000E652A"/>
    <w:rsid w:val="000E732F"/>
    <w:rsid w:val="000F515C"/>
    <w:rsid w:val="001012E6"/>
    <w:rsid w:val="001024F6"/>
    <w:rsid w:val="0010435C"/>
    <w:rsid w:val="001044CA"/>
    <w:rsid w:val="00104680"/>
    <w:rsid w:val="001103A9"/>
    <w:rsid w:val="00123743"/>
    <w:rsid w:val="001277DC"/>
    <w:rsid w:val="00127F54"/>
    <w:rsid w:val="00131FBD"/>
    <w:rsid w:val="0013272A"/>
    <w:rsid w:val="00141326"/>
    <w:rsid w:val="00154189"/>
    <w:rsid w:val="00160962"/>
    <w:rsid w:val="00164341"/>
    <w:rsid w:val="00182BCC"/>
    <w:rsid w:val="001A2137"/>
    <w:rsid w:val="001A29F7"/>
    <w:rsid w:val="001A6E21"/>
    <w:rsid w:val="001C5BE4"/>
    <w:rsid w:val="001C5FFE"/>
    <w:rsid w:val="001D0B44"/>
    <w:rsid w:val="001D5F32"/>
    <w:rsid w:val="001E2016"/>
    <w:rsid w:val="001E2ED8"/>
    <w:rsid w:val="001F0913"/>
    <w:rsid w:val="00211DB0"/>
    <w:rsid w:val="00232DF0"/>
    <w:rsid w:val="002350A6"/>
    <w:rsid w:val="00240281"/>
    <w:rsid w:val="00242C8E"/>
    <w:rsid w:val="00243CD4"/>
    <w:rsid w:val="00244787"/>
    <w:rsid w:val="00246CAD"/>
    <w:rsid w:val="0025261A"/>
    <w:rsid w:val="0026490A"/>
    <w:rsid w:val="002650C1"/>
    <w:rsid w:val="00282F0D"/>
    <w:rsid w:val="00283E56"/>
    <w:rsid w:val="002878ED"/>
    <w:rsid w:val="00293315"/>
    <w:rsid w:val="00294555"/>
    <w:rsid w:val="00294BE8"/>
    <w:rsid w:val="0029538D"/>
    <w:rsid w:val="002A4BD4"/>
    <w:rsid w:val="002B2FAE"/>
    <w:rsid w:val="002B4D49"/>
    <w:rsid w:val="002D11EE"/>
    <w:rsid w:val="002D7BD4"/>
    <w:rsid w:val="002E218B"/>
    <w:rsid w:val="002F2CA0"/>
    <w:rsid w:val="002F7CC2"/>
    <w:rsid w:val="003173C5"/>
    <w:rsid w:val="00335315"/>
    <w:rsid w:val="00342FF8"/>
    <w:rsid w:val="003507B7"/>
    <w:rsid w:val="00355CE8"/>
    <w:rsid w:val="00356A39"/>
    <w:rsid w:val="00362A2C"/>
    <w:rsid w:val="00363C0A"/>
    <w:rsid w:val="00372549"/>
    <w:rsid w:val="0037484E"/>
    <w:rsid w:val="00386BBA"/>
    <w:rsid w:val="003871B7"/>
    <w:rsid w:val="00387D3E"/>
    <w:rsid w:val="00394FDD"/>
    <w:rsid w:val="003A6991"/>
    <w:rsid w:val="003B1C41"/>
    <w:rsid w:val="003B7C72"/>
    <w:rsid w:val="003C47C4"/>
    <w:rsid w:val="003C5228"/>
    <w:rsid w:val="003D095A"/>
    <w:rsid w:val="003D128B"/>
    <w:rsid w:val="003D501F"/>
    <w:rsid w:val="003E0331"/>
    <w:rsid w:val="003E6A9C"/>
    <w:rsid w:val="003F04A7"/>
    <w:rsid w:val="003F1524"/>
    <w:rsid w:val="003F6E7A"/>
    <w:rsid w:val="00402486"/>
    <w:rsid w:val="00413DAA"/>
    <w:rsid w:val="00414E0D"/>
    <w:rsid w:val="00420E00"/>
    <w:rsid w:val="00423905"/>
    <w:rsid w:val="0043094A"/>
    <w:rsid w:val="0043166F"/>
    <w:rsid w:val="00433573"/>
    <w:rsid w:val="0043674E"/>
    <w:rsid w:val="00453FCA"/>
    <w:rsid w:val="004606CC"/>
    <w:rsid w:val="00466DA3"/>
    <w:rsid w:val="00470B18"/>
    <w:rsid w:val="00473A1E"/>
    <w:rsid w:val="0047768A"/>
    <w:rsid w:val="00480ACE"/>
    <w:rsid w:val="004822C6"/>
    <w:rsid w:val="004874BD"/>
    <w:rsid w:val="00490A00"/>
    <w:rsid w:val="00491A4A"/>
    <w:rsid w:val="004A0410"/>
    <w:rsid w:val="004A7D59"/>
    <w:rsid w:val="004B0511"/>
    <w:rsid w:val="004B3A10"/>
    <w:rsid w:val="004B569F"/>
    <w:rsid w:val="004B6482"/>
    <w:rsid w:val="004B79DE"/>
    <w:rsid w:val="004C00E8"/>
    <w:rsid w:val="004C5B75"/>
    <w:rsid w:val="004D169A"/>
    <w:rsid w:val="004D1A9A"/>
    <w:rsid w:val="004D1E2D"/>
    <w:rsid w:val="004D258A"/>
    <w:rsid w:val="004E45C9"/>
    <w:rsid w:val="004F0962"/>
    <w:rsid w:val="004F4286"/>
    <w:rsid w:val="004F42BC"/>
    <w:rsid w:val="004F5336"/>
    <w:rsid w:val="0050638D"/>
    <w:rsid w:val="0051341D"/>
    <w:rsid w:val="00525C41"/>
    <w:rsid w:val="00532634"/>
    <w:rsid w:val="0053458B"/>
    <w:rsid w:val="00534D0F"/>
    <w:rsid w:val="0053711C"/>
    <w:rsid w:val="00540FC1"/>
    <w:rsid w:val="0055134F"/>
    <w:rsid w:val="00565947"/>
    <w:rsid w:val="005708F8"/>
    <w:rsid w:val="0057250A"/>
    <w:rsid w:val="005737FF"/>
    <w:rsid w:val="0058054E"/>
    <w:rsid w:val="0058513E"/>
    <w:rsid w:val="00585CE2"/>
    <w:rsid w:val="005965FD"/>
    <w:rsid w:val="0059693F"/>
    <w:rsid w:val="005A0C6A"/>
    <w:rsid w:val="005A2107"/>
    <w:rsid w:val="005C5713"/>
    <w:rsid w:val="005D4499"/>
    <w:rsid w:val="005D53DA"/>
    <w:rsid w:val="005D59AB"/>
    <w:rsid w:val="005E2577"/>
    <w:rsid w:val="005F35F0"/>
    <w:rsid w:val="005F6BBF"/>
    <w:rsid w:val="005F778C"/>
    <w:rsid w:val="00606D94"/>
    <w:rsid w:val="006101DB"/>
    <w:rsid w:val="0061551A"/>
    <w:rsid w:val="0062334C"/>
    <w:rsid w:val="006261B2"/>
    <w:rsid w:val="0063551D"/>
    <w:rsid w:val="00643CF7"/>
    <w:rsid w:val="00644EA1"/>
    <w:rsid w:val="0064600C"/>
    <w:rsid w:val="00646C18"/>
    <w:rsid w:val="00651B52"/>
    <w:rsid w:val="0065361A"/>
    <w:rsid w:val="0066053E"/>
    <w:rsid w:val="00660B91"/>
    <w:rsid w:val="00660F1A"/>
    <w:rsid w:val="006642BA"/>
    <w:rsid w:val="006703D2"/>
    <w:rsid w:val="0067538E"/>
    <w:rsid w:val="006802E0"/>
    <w:rsid w:val="006847C9"/>
    <w:rsid w:val="00692EF3"/>
    <w:rsid w:val="00693365"/>
    <w:rsid w:val="00694BB0"/>
    <w:rsid w:val="006971DA"/>
    <w:rsid w:val="006A1606"/>
    <w:rsid w:val="006A32A9"/>
    <w:rsid w:val="006B28A0"/>
    <w:rsid w:val="006B3CF6"/>
    <w:rsid w:val="006B56BB"/>
    <w:rsid w:val="006B7095"/>
    <w:rsid w:val="006C27DE"/>
    <w:rsid w:val="006C3ACE"/>
    <w:rsid w:val="006C7281"/>
    <w:rsid w:val="006D08A8"/>
    <w:rsid w:val="006F373E"/>
    <w:rsid w:val="006F5114"/>
    <w:rsid w:val="006F793A"/>
    <w:rsid w:val="00702976"/>
    <w:rsid w:val="00704D08"/>
    <w:rsid w:val="00714B47"/>
    <w:rsid w:val="00721F13"/>
    <w:rsid w:val="00724A4E"/>
    <w:rsid w:val="00730203"/>
    <w:rsid w:val="00731126"/>
    <w:rsid w:val="0074340F"/>
    <w:rsid w:val="00743716"/>
    <w:rsid w:val="00744DBC"/>
    <w:rsid w:val="007549EB"/>
    <w:rsid w:val="007563E5"/>
    <w:rsid w:val="00762844"/>
    <w:rsid w:val="00767919"/>
    <w:rsid w:val="00770591"/>
    <w:rsid w:val="00773DE7"/>
    <w:rsid w:val="00774204"/>
    <w:rsid w:val="0077692E"/>
    <w:rsid w:val="00787FA8"/>
    <w:rsid w:val="00794AB2"/>
    <w:rsid w:val="007A031F"/>
    <w:rsid w:val="007A19AC"/>
    <w:rsid w:val="007B2141"/>
    <w:rsid w:val="007B59B0"/>
    <w:rsid w:val="007C0AEB"/>
    <w:rsid w:val="007C2568"/>
    <w:rsid w:val="007D2602"/>
    <w:rsid w:val="007D6F4A"/>
    <w:rsid w:val="007F4231"/>
    <w:rsid w:val="00802693"/>
    <w:rsid w:val="00802913"/>
    <w:rsid w:val="008052DC"/>
    <w:rsid w:val="00806585"/>
    <w:rsid w:val="00810479"/>
    <w:rsid w:val="00811074"/>
    <w:rsid w:val="00812228"/>
    <w:rsid w:val="00816524"/>
    <w:rsid w:val="00825B0B"/>
    <w:rsid w:val="00826D6B"/>
    <w:rsid w:val="00827261"/>
    <w:rsid w:val="00827C57"/>
    <w:rsid w:val="0083156E"/>
    <w:rsid w:val="00834AA4"/>
    <w:rsid w:val="00846281"/>
    <w:rsid w:val="00854109"/>
    <w:rsid w:val="008567AC"/>
    <w:rsid w:val="00860736"/>
    <w:rsid w:val="00867303"/>
    <w:rsid w:val="00870A50"/>
    <w:rsid w:val="0087278E"/>
    <w:rsid w:val="00874CB1"/>
    <w:rsid w:val="00874DFB"/>
    <w:rsid w:val="00875C19"/>
    <w:rsid w:val="008770C2"/>
    <w:rsid w:val="008772D4"/>
    <w:rsid w:val="00881330"/>
    <w:rsid w:val="008875AB"/>
    <w:rsid w:val="008958D3"/>
    <w:rsid w:val="00896FCA"/>
    <w:rsid w:val="008A1038"/>
    <w:rsid w:val="008A1454"/>
    <w:rsid w:val="008B1366"/>
    <w:rsid w:val="008B18A7"/>
    <w:rsid w:val="008B3F6B"/>
    <w:rsid w:val="008B524A"/>
    <w:rsid w:val="008C0D10"/>
    <w:rsid w:val="008C229E"/>
    <w:rsid w:val="008C3417"/>
    <w:rsid w:val="008C6EF8"/>
    <w:rsid w:val="008C71FE"/>
    <w:rsid w:val="008D1452"/>
    <w:rsid w:val="008D403D"/>
    <w:rsid w:val="008E1B11"/>
    <w:rsid w:val="008F003A"/>
    <w:rsid w:val="008F17E9"/>
    <w:rsid w:val="00902B21"/>
    <w:rsid w:val="00902FC8"/>
    <w:rsid w:val="00920455"/>
    <w:rsid w:val="00924B27"/>
    <w:rsid w:val="00934794"/>
    <w:rsid w:val="00941C8D"/>
    <w:rsid w:val="00942803"/>
    <w:rsid w:val="0094579F"/>
    <w:rsid w:val="00946145"/>
    <w:rsid w:val="00946277"/>
    <w:rsid w:val="00950C80"/>
    <w:rsid w:val="00960042"/>
    <w:rsid w:val="0097468F"/>
    <w:rsid w:val="0097606C"/>
    <w:rsid w:val="00983836"/>
    <w:rsid w:val="00984509"/>
    <w:rsid w:val="00990B0E"/>
    <w:rsid w:val="009A2DA2"/>
    <w:rsid w:val="009B2BBC"/>
    <w:rsid w:val="009D53C0"/>
    <w:rsid w:val="009D552C"/>
    <w:rsid w:val="009E5263"/>
    <w:rsid w:val="009F14AD"/>
    <w:rsid w:val="009F3E27"/>
    <w:rsid w:val="009F4C46"/>
    <w:rsid w:val="00A01B75"/>
    <w:rsid w:val="00A01D6F"/>
    <w:rsid w:val="00A04210"/>
    <w:rsid w:val="00A10F11"/>
    <w:rsid w:val="00A1209D"/>
    <w:rsid w:val="00A1663F"/>
    <w:rsid w:val="00A2239D"/>
    <w:rsid w:val="00A23D76"/>
    <w:rsid w:val="00A23EB5"/>
    <w:rsid w:val="00A263F9"/>
    <w:rsid w:val="00A3084A"/>
    <w:rsid w:val="00A327CC"/>
    <w:rsid w:val="00A33152"/>
    <w:rsid w:val="00A33335"/>
    <w:rsid w:val="00A33E66"/>
    <w:rsid w:val="00A43C3D"/>
    <w:rsid w:val="00A52805"/>
    <w:rsid w:val="00A55B77"/>
    <w:rsid w:val="00A55FAC"/>
    <w:rsid w:val="00A56363"/>
    <w:rsid w:val="00A64094"/>
    <w:rsid w:val="00A714A5"/>
    <w:rsid w:val="00A75DC7"/>
    <w:rsid w:val="00AA02D9"/>
    <w:rsid w:val="00AA23E6"/>
    <w:rsid w:val="00AA68C8"/>
    <w:rsid w:val="00AA6A1C"/>
    <w:rsid w:val="00AB289E"/>
    <w:rsid w:val="00AB3B90"/>
    <w:rsid w:val="00AB495C"/>
    <w:rsid w:val="00AB63B1"/>
    <w:rsid w:val="00AC14CF"/>
    <w:rsid w:val="00AC4C52"/>
    <w:rsid w:val="00AC73E9"/>
    <w:rsid w:val="00AD31AD"/>
    <w:rsid w:val="00AD3469"/>
    <w:rsid w:val="00AF6F17"/>
    <w:rsid w:val="00AF787D"/>
    <w:rsid w:val="00B06A96"/>
    <w:rsid w:val="00B07DE8"/>
    <w:rsid w:val="00B12EE8"/>
    <w:rsid w:val="00B23139"/>
    <w:rsid w:val="00B424A0"/>
    <w:rsid w:val="00B47DA4"/>
    <w:rsid w:val="00B5223C"/>
    <w:rsid w:val="00B73E6B"/>
    <w:rsid w:val="00B75B72"/>
    <w:rsid w:val="00B81957"/>
    <w:rsid w:val="00B90243"/>
    <w:rsid w:val="00B963A2"/>
    <w:rsid w:val="00B96B0C"/>
    <w:rsid w:val="00BA4000"/>
    <w:rsid w:val="00BA48E6"/>
    <w:rsid w:val="00BA55C6"/>
    <w:rsid w:val="00BB0DFE"/>
    <w:rsid w:val="00BC223A"/>
    <w:rsid w:val="00BD1A3E"/>
    <w:rsid w:val="00BD2D67"/>
    <w:rsid w:val="00BD6C49"/>
    <w:rsid w:val="00BF0596"/>
    <w:rsid w:val="00C037C5"/>
    <w:rsid w:val="00C067BC"/>
    <w:rsid w:val="00C07E85"/>
    <w:rsid w:val="00C10F74"/>
    <w:rsid w:val="00C12AB8"/>
    <w:rsid w:val="00C179FC"/>
    <w:rsid w:val="00C17E0F"/>
    <w:rsid w:val="00C25D33"/>
    <w:rsid w:val="00C27824"/>
    <w:rsid w:val="00C3304C"/>
    <w:rsid w:val="00C34B77"/>
    <w:rsid w:val="00C405C9"/>
    <w:rsid w:val="00C545F0"/>
    <w:rsid w:val="00C577F2"/>
    <w:rsid w:val="00C62DD8"/>
    <w:rsid w:val="00C654D0"/>
    <w:rsid w:val="00C76F62"/>
    <w:rsid w:val="00C84C10"/>
    <w:rsid w:val="00C84F6C"/>
    <w:rsid w:val="00C85A2E"/>
    <w:rsid w:val="00C949C8"/>
    <w:rsid w:val="00C97670"/>
    <w:rsid w:val="00CA00B3"/>
    <w:rsid w:val="00CA16FC"/>
    <w:rsid w:val="00CA2E53"/>
    <w:rsid w:val="00CB2C6F"/>
    <w:rsid w:val="00CC5179"/>
    <w:rsid w:val="00CC6167"/>
    <w:rsid w:val="00CC624C"/>
    <w:rsid w:val="00CD397D"/>
    <w:rsid w:val="00CD7FDA"/>
    <w:rsid w:val="00CE14F7"/>
    <w:rsid w:val="00CE20D7"/>
    <w:rsid w:val="00CE752E"/>
    <w:rsid w:val="00CF2098"/>
    <w:rsid w:val="00CF5070"/>
    <w:rsid w:val="00CF5398"/>
    <w:rsid w:val="00CF7AA0"/>
    <w:rsid w:val="00D0617B"/>
    <w:rsid w:val="00D14D5E"/>
    <w:rsid w:val="00D20BAD"/>
    <w:rsid w:val="00D24CCB"/>
    <w:rsid w:val="00D25D65"/>
    <w:rsid w:val="00D263CA"/>
    <w:rsid w:val="00D264BC"/>
    <w:rsid w:val="00D27818"/>
    <w:rsid w:val="00D3099E"/>
    <w:rsid w:val="00D35C6D"/>
    <w:rsid w:val="00D40ACF"/>
    <w:rsid w:val="00D44CE0"/>
    <w:rsid w:val="00D502E6"/>
    <w:rsid w:val="00D61608"/>
    <w:rsid w:val="00D6487B"/>
    <w:rsid w:val="00D66E67"/>
    <w:rsid w:val="00D6707D"/>
    <w:rsid w:val="00D728C3"/>
    <w:rsid w:val="00D77305"/>
    <w:rsid w:val="00D80C08"/>
    <w:rsid w:val="00D82CFD"/>
    <w:rsid w:val="00D9305D"/>
    <w:rsid w:val="00D932A1"/>
    <w:rsid w:val="00DA0DC1"/>
    <w:rsid w:val="00DA1FC4"/>
    <w:rsid w:val="00DA28ED"/>
    <w:rsid w:val="00DA2EE1"/>
    <w:rsid w:val="00DA6E47"/>
    <w:rsid w:val="00DB0A26"/>
    <w:rsid w:val="00DB1E6E"/>
    <w:rsid w:val="00DB47DE"/>
    <w:rsid w:val="00DB60E0"/>
    <w:rsid w:val="00DB60F4"/>
    <w:rsid w:val="00DB7248"/>
    <w:rsid w:val="00DB7A05"/>
    <w:rsid w:val="00DC63B4"/>
    <w:rsid w:val="00DD1E08"/>
    <w:rsid w:val="00DD2073"/>
    <w:rsid w:val="00DD3F17"/>
    <w:rsid w:val="00DD5D4A"/>
    <w:rsid w:val="00DD6F55"/>
    <w:rsid w:val="00DE0096"/>
    <w:rsid w:val="00DE057B"/>
    <w:rsid w:val="00DE25BD"/>
    <w:rsid w:val="00DE4D28"/>
    <w:rsid w:val="00E046E8"/>
    <w:rsid w:val="00E1316D"/>
    <w:rsid w:val="00E26F8E"/>
    <w:rsid w:val="00E4449D"/>
    <w:rsid w:val="00E46AD9"/>
    <w:rsid w:val="00E47BD2"/>
    <w:rsid w:val="00E54F09"/>
    <w:rsid w:val="00E6345B"/>
    <w:rsid w:val="00E63B3C"/>
    <w:rsid w:val="00E641F7"/>
    <w:rsid w:val="00E661C8"/>
    <w:rsid w:val="00E71CE3"/>
    <w:rsid w:val="00E732C5"/>
    <w:rsid w:val="00E74CB1"/>
    <w:rsid w:val="00E75125"/>
    <w:rsid w:val="00E75A88"/>
    <w:rsid w:val="00E75D27"/>
    <w:rsid w:val="00E82D2D"/>
    <w:rsid w:val="00E82FC2"/>
    <w:rsid w:val="00E859BF"/>
    <w:rsid w:val="00E91574"/>
    <w:rsid w:val="00E97457"/>
    <w:rsid w:val="00EA04D7"/>
    <w:rsid w:val="00EA6977"/>
    <w:rsid w:val="00EB2EBF"/>
    <w:rsid w:val="00EB6ACC"/>
    <w:rsid w:val="00EB6E66"/>
    <w:rsid w:val="00EC0FD5"/>
    <w:rsid w:val="00EC7C8E"/>
    <w:rsid w:val="00ED68C9"/>
    <w:rsid w:val="00EE0981"/>
    <w:rsid w:val="00EE1324"/>
    <w:rsid w:val="00EF566A"/>
    <w:rsid w:val="00EF5B96"/>
    <w:rsid w:val="00EF6C4F"/>
    <w:rsid w:val="00F014AE"/>
    <w:rsid w:val="00F05823"/>
    <w:rsid w:val="00F06EC9"/>
    <w:rsid w:val="00F07AB5"/>
    <w:rsid w:val="00F127E4"/>
    <w:rsid w:val="00F135AE"/>
    <w:rsid w:val="00F1742A"/>
    <w:rsid w:val="00F35360"/>
    <w:rsid w:val="00F407E6"/>
    <w:rsid w:val="00F40B24"/>
    <w:rsid w:val="00F4141D"/>
    <w:rsid w:val="00F42ED5"/>
    <w:rsid w:val="00F43C38"/>
    <w:rsid w:val="00F45BF1"/>
    <w:rsid w:val="00F45EA4"/>
    <w:rsid w:val="00F562F9"/>
    <w:rsid w:val="00F573F1"/>
    <w:rsid w:val="00F73381"/>
    <w:rsid w:val="00F7523C"/>
    <w:rsid w:val="00F86D04"/>
    <w:rsid w:val="00FA00E1"/>
    <w:rsid w:val="00FA140D"/>
    <w:rsid w:val="00FA1698"/>
    <w:rsid w:val="00FB242D"/>
    <w:rsid w:val="00FC3C0A"/>
    <w:rsid w:val="00FC6FDA"/>
    <w:rsid w:val="00FD2102"/>
    <w:rsid w:val="00FD3423"/>
    <w:rsid w:val="00FD3B74"/>
    <w:rsid w:val="00FD5310"/>
    <w:rsid w:val="00FE23B7"/>
    <w:rsid w:val="00FE2F79"/>
    <w:rsid w:val="00FE4F4D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A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484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 Char Char"/>
    <w:basedOn w:val="Norml"/>
    <w:link w:val="NormlWebChar"/>
    <w:uiPriority w:val="99"/>
    <w:unhideWhenUsed/>
    <w:rsid w:val="0037484E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paragraph" w:styleId="Listaszerbekezds">
    <w:name w:val="List Paragraph"/>
    <w:aliases w:val="Számozott lista 1"/>
    <w:basedOn w:val="Norml"/>
    <w:link w:val="ListaszerbekezdsChar"/>
    <w:uiPriority w:val="99"/>
    <w:qFormat/>
    <w:rsid w:val="0037484E"/>
    <w:pPr>
      <w:ind w:left="720"/>
      <w:contextualSpacing/>
      <w:jc w:val="left"/>
    </w:pPr>
    <w:rPr>
      <w:rFonts w:eastAsia="Times New Roman"/>
      <w:lang w:eastAsia="hu-HU"/>
    </w:rPr>
  </w:style>
  <w:style w:type="character" w:customStyle="1" w:styleId="ListaszerbekezdsChar">
    <w:name w:val="Listaszerű bekezdés Char"/>
    <w:aliases w:val="Számozott lista 1 Char"/>
    <w:link w:val="Listaszerbekezds"/>
    <w:uiPriority w:val="99"/>
    <w:rsid w:val="0037484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748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7484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7484E"/>
    <w:rPr>
      <w:rFonts w:ascii="Times New Roman" w:eastAsia="Calibri" w:hAnsi="Times New Roman" w:cs="Times New Roman"/>
      <w:sz w:val="20"/>
      <w:szCs w:val="20"/>
    </w:rPr>
  </w:style>
  <w:style w:type="paragraph" w:customStyle="1" w:styleId="AODocTxtL1">
    <w:name w:val="AODocTxtL1"/>
    <w:basedOn w:val="Norml"/>
    <w:rsid w:val="0037484E"/>
    <w:pPr>
      <w:spacing w:before="240" w:line="260" w:lineRule="atLeast"/>
      <w:ind w:left="720"/>
    </w:pPr>
    <w:rPr>
      <w:rFonts w:eastAsia="Times New Roman"/>
      <w:snapToGrid w:val="0"/>
      <w:sz w:val="22"/>
      <w:szCs w:val="22"/>
      <w:lang w:eastAsia="hu-HU"/>
    </w:rPr>
  </w:style>
  <w:style w:type="character" w:customStyle="1" w:styleId="NormlWebChar">
    <w:name w:val="Normál (Web) Char"/>
    <w:aliases w:val="Char Char Char Char"/>
    <w:link w:val="NormlWeb"/>
    <w:uiPriority w:val="99"/>
    <w:locked/>
    <w:rsid w:val="003748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qFormat/>
    <w:rsid w:val="003748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37484E"/>
    <w:pPr>
      <w:spacing w:after="120"/>
      <w:jc w:val="left"/>
    </w:pPr>
    <w:rPr>
      <w:rFonts w:eastAsia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37484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7484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484E"/>
    <w:rPr>
      <w:rFonts w:ascii="Segoe UI" w:eastAsia="Calibr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7484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7484E"/>
    <w:rPr>
      <w:rFonts w:ascii="Times New Roman" w:eastAsia="Calibri" w:hAnsi="Times New Roman" w:cs="Times New Roman"/>
      <w:b/>
      <w:bCs/>
      <w:sz w:val="20"/>
      <w:szCs w:val="20"/>
    </w:rPr>
  </w:style>
  <w:style w:type="table" w:styleId="Rcsostblzat">
    <w:name w:val="Table Grid"/>
    <w:basedOn w:val="Normltblzat"/>
    <w:uiPriority w:val="39"/>
    <w:rsid w:val="00D25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17A9C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27818"/>
    <w:rPr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B3F6B"/>
    <w:rPr>
      <w:color w:val="605E5C"/>
      <w:shd w:val="clear" w:color="auto" w:fill="E1DFDD"/>
    </w:rPr>
  </w:style>
  <w:style w:type="paragraph" w:customStyle="1" w:styleId="AONormal">
    <w:name w:val="AONormal"/>
    <w:link w:val="AONormalChar"/>
    <w:rsid w:val="008B3F6B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8B3F6B"/>
    <w:rPr>
      <w:rFonts w:ascii="Times New Roman" w:eastAsia="SimSun" w:hAnsi="Times New Roman" w:cs="Times New Roman"/>
      <w:szCs w:val="20"/>
      <w:lang w:val="en-GB" w:eastAsia="hu-HU"/>
    </w:rPr>
  </w:style>
  <w:style w:type="paragraph" w:styleId="Nincstrkz">
    <w:name w:val="No Spacing"/>
    <w:uiPriority w:val="1"/>
    <w:qFormat/>
    <w:rsid w:val="0029331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484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 Char Char"/>
    <w:basedOn w:val="Norml"/>
    <w:link w:val="NormlWebChar"/>
    <w:uiPriority w:val="99"/>
    <w:unhideWhenUsed/>
    <w:rsid w:val="0037484E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paragraph" w:styleId="Listaszerbekezds">
    <w:name w:val="List Paragraph"/>
    <w:aliases w:val="Számozott lista 1"/>
    <w:basedOn w:val="Norml"/>
    <w:link w:val="ListaszerbekezdsChar"/>
    <w:uiPriority w:val="99"/>
    <w:qFormat/>
    <w:rsid w:val="0037484E"/>
    <w:pPr>
      <w:ind w:left="720"/>
      <w:contextualSpacing/>
      <w:jc w:val="left"/>
    </w:pPr>
    <w:rPr>
      <w:rFonts w:eastAsia="Times New Roman"/>
      <w:lang w:eastAsia="hu-HU"/>
    </w:rPr>
  </w:style>
  <w:style w:type="character" w:customStyle="1" w:styleId="ListaszerbekezdsChar">
    <w:name w:val="Listaszerű bekezdés Char"/>
    <w:aliases w:val="Számozott lista 1 Char"/>
    <w:link w:val="Listaszerbekezds"/>
    <w:uiPriority w:val="99"/>
    <w:rsid w:val="0037484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748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7484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7484E"/>
    <w:rPr>
      <w:rFonts w:ascii="Times New Roman" w:eastAsia="Calibri" w:hAnsi="Times New Roman" w:cs="Times New Roman"/>
      <w:sz w:val="20"/>
      <w:szCs w:val="20"/>
    </w:rPr>
  </w:style>
  <w:style w:type="paragraph" w:customStyle="1" w:styleId="AODocTxtL1">
    <w:name w:val="AODocTxtL1"/>
    <w:basedOn w:val="Norml"/>
    <w:rsid w:val="0037484E"/>
    <w:pPr>
      <w:spacing w:before="240" w:line="260" w:lineRule="atLeast"/>
      <w:ind w:left="720"/>
    </w:pPr>
    <w:rPr>
      <w:rFonts w:eastAsia="Times New Roman"/>
      <w:snapToGrid w:val="0"/>
      <w:sz w:val="22"/>
      <w:szCs w:val="22"/>
      <w:lang w:eastAsia="hu-HU"/>
    </w:rPr>
  </w:style>
  <w:style w:type="character" w:customStyle="1" w:styleId="NormlWebChar">
    <w:name w:val="Normál (Web) Char"/>
    <w:aliases w:val="Char Char Char Char"/>
    <w:link w:val="NormlWeb"/>
    <w:uiPriority w:val="99"/>
    <w:locked/>
    <w:rsid w:val="003748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qFormat/>
    <w:rsid w:val="003748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37484E"/>
    <w:pPr>
      <w:spacing w:after="120"/>
      <w:jc w:val="left"/>
    </w:pPr>
    <w:rPr>
      <w:rFonts w:eastAsia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37484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7484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484E"/>
    <w:rPr>
      <w:rFonts w:ascii="Segoe UI" w:eastAsia="Calibr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7484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7484E"/>
    <w:rPr>
      <w:rFonts w:ascii="Times New Roman" w:eastAsia="Calibri" w:hAnsi="Times New Roman" w:cs="Times New Roman"/>
      <w:b/>
      <w:bCs/>
      <w:sz w:val="20"/>
      <w:szCs w:val="20"/>
    </w:rPr>
  </w:style>
  <w:style w:type="table" w:styleId="Rcsostblzat">
    <w:name w:val="Table Grid"/>
    <w:basedOn w:val="Normltblzat"/>
    <w:uiPriority w:val="39"/>
    <w:rsid w:val="00D25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17A9C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27818"/>
    <w:rPr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B3F6B"/>
    <w:rPr>
      <w:color w:val="605E5C"/>
      <w:shd w:val="clear" w:color="auto" w:fill="E1DFDD"/>
    </w:rPr>
  </w:style>
  <w:style w:type="paragraph" w:customStyle="1" w:styleId="AONormal">
    <w:name w:val="AONormal"/>
    <w:link w:val="AONormalChar"/>
    <w:rsid w:val="008B3F6B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8B3F6B"/>
    <w:rPr>
      <w:rFonts w:ascii="Times New Roman" w:eastAsia="SimSun" w:hAnsi="Times New Roman" w:cs="Times New Roman"/>
      <w:szCs w:val="20"/>
      <w:lang w:val="en-GB" w:eastAsia="hu-HU"/>
    </w:rPr>
  </w:style>
  <w:style w:type="paragraph" w:styleId="Nincstrkz">
    <w:name w:val="No Spacing"/>
    <w:uiPriority w:val="1"/>
    <w:qFormat/>
    <w:rsid w:val="0029331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cs.edina@tiszavasvari.hu" TargetMode="External"/><Relationship Id="rId3" Type="http://schemas.openxmlformats.org/officeDocument/2006/relationships/styles" Target="styles.xml"/><Relationship Id="rId7" Type="http://schemas.openxmlformats.org/officeDocument/2006/relationships/hyperlink" Target="tel:+36595006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tel:+365950061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621B3-C6A9-4558-97DD-7FA04CCA0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10</Pages>
  <Words>3026</Words>
  <Characters>20883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Koppándi Dániel</dc:creator>
  <cp:lastModifiedBy>PHadmin</cp:lastModifiedBy>
  <cp:revision>99</cp:revision>
  <cp:lastPrinted>2022-01-19T14:01:00Z</cp:lastPrinted>
  <dcterms:created xsi:type="dcterms:W3CDTF">2021-06-07T07:59:00Z</dcterms:created>
  <dcterms:modified xsi:type="dcterms:W3CDTF">2022-01-24T13:39:00Z</dcterms:modified>
</cp:coreProperties>
</file>