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1F47567D" w:rsidR="00DF3965" w:rsidRPr="00283B76" w:rsidRDefault="00517C01">
      <w:pPr>
        <w:jc w:val="center"/>
        <w:rPr>
          <w:rFonts w:ascii="Arial" w:hAnsi="Arial" w:cs="Arial"/>
          <w:b/>
          <w:bCs/>
        </w:rPr>
      </w:pPr>
      <w:r>
        <w:rPr>
          <w:rFonts w:ascii="Arial" w:hAnsi="Arial" w:cs="Arial"/>
          <w:b/>
          <w:bCs/>
        </w:rPr>
        <w:t xml:space="preserve">Tiszavasvári Város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249A6C0A"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Bursa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proofErr w:type="gramStart"/>
      <w:r>
        <w:rPr>
          <w:rFonts w:ascii="Arial" w:hAnsi="Arial" w:cs="Arial"/>
          <w:b/>
          <w:bCs/>
        </w:rPr>
        <w:t>összhangban</w:t>
      </w:r>
      <w:proofErr w:type="gramEnd"/>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290EEEAB" w14:textId="77777777"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lastRenderedPageBreak/>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67429D"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FD65980"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17F8245"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D5251B" w:rsidP="00A32415">
      <w:pPr>
        <w:jc w:val="center"/>
        <w:rPr>
          <w:rFonts w:ascii="Arial" w:hAnsi="Arial" w:cs="Arial"/>
          <w:sz w:val="22"/>
          <w:szCs w:val="22"/>
        </w:rPr>
      </w:pPr>
      <w:hyperlink r:id="rId9"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C96CB81"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4D9628F7" w14:textId="77777777" w:rsidR="00517C01" w:rsidRPr="00517C01" w:rsidRDefault="00517C01" w:rsidP="00517C01">
      <w:pPr>
        <w:pStyle w:val="Default"/>
        <w:rPr>
          <w:rFonts w:ascii="Arial" w:hAnsi="Arial" w:cs="Arial"/>
          <w:b/>
          <w:bCs/>
          <w:sz w:val="22"/>
          <w:szCs w:val="23"/>
        </w:rPr>
      </w:pPr>
      <w:r w:rsidRPr="00517C01">
        <w:rPr>
          <w:rFonts w:ascii="Arial" w:hAnsi="Arial" w:cs="Arial"/>
          <w:b/>
          <w:bCs/>
          <w:sz w:val="22"/>
          <w:szCs w:val="23"/>
        </w:rPr>
        <w:t xml:space="preserve">A kérelmező és a vele egy háztartásban élő személyeknek a kérelem beadását megelőző 1 hónap nettó jövedelméről szóló igazolások: </w:t>
      </w:r>
    </w:p>
    <w:p w14:paraId="562BEB1F" w14:textId="77777777" w:rsidR="00517C01" w:rsidRDefault="00517C01" w:rsidP="00517C01">
      <w:pPr>
        <w:pStyle w:val="Default"/>
        <w:rPr>
          <w:sz w:val="23"/>
          <w:szCs w:val="23"/>
        </w:rPr>
      </w:pPr>
    </w:p>
    <w:p w14:paraId="14AE5936" w14:textId="55A20D5F" w:rsidR="00517C01" w:rsidRPr="00517C01" w:rsidRDefault="00517C01" w:rsidP="00517C01">
      <w:pPr>
        <w:pStyle w:val="Default"/>
        <w:numPr>
          <w:ilvl w:val="0"/>
          <w:numId w:val="22"/>
        </w:numPr>
        <w:spacing w:after="9"/>
        <w:rPr>
          <w:rFonts w:ascii="Arial" w:hAnsi="Arial" w:cs="Arial"/>
          <w:sz w:val="22"/>
          <w:szCs w:val="23"/>
        </w:rPr>
      </w:pPr>
      <w:r w:rsidRPr="00517C01">
        <w:rPr>
          <w:rFonts w:ascii="Arial" w:hAnsi="Arial" w:cs="Arial"/>
          <w:sz w:val="22"/>
          <w:szCs w:val="23"/>
        </w:rPr>
        <w:t xml:space="preserve"> egyedülálló kérelmező esetén: az egyedülállóság </w:t>
      </w:r>
      <w:proofErr w:type="spellStart"/>
      <w:r w:rsidRPr="00517C01">
        <w:rPr>
          <w:rFonts w:ascii="Arial" w:hAnsi="Arial" w:cs="Arial"/>
          <w:sz w:val="22"/>
          <w:szCs w:val="23"/>
        </w:rPr>
        <w:t>tényére</w:t>
      </w:r>
      <w:proofErr w:type="spellEnd"/>
      <w:r w:rsidRPr="00517C01">
        <w:rPr>
          <w:rFonts w:ascii="Arial" w:hAnsi="Arial" w:cs="Arial"/>
          <w:sz w:val="22"/>
          <w:szCs w:val="23"/>
        </w:rPr>
        <w:t xml:space="preserve"> vonatkozó nyilatkozat </w:t>
      </w:r>
    </w:p>
    <w:p w14:paraId="7FA1190C" w14:textId="766B05FF" w:rsidR="00517C01" w:rsidRPr="00517C01" w:rsidRDefault="00517C01" w:rsidP="00517C01">
      <w:pPr>
        <w:pStyle w:val="Default"/>
        <w:numPr>
          <w:ilvl w:val="0"/>
          <w:numId w:val="22"/>
        </w:numPr>
        <w:spacing w:after="9"/>
        <w:rPr>
          <w:rFonts w:ascii="Arial" w:hAnsi="Arial" w:cs="Arial"/>
          <w:sz w:val="22"/>
          <w:szCs w:val="23"/>
        </w:rPr>
      </w:pPr>
      <w:r w:rsidRPr="00517C01">
        <w:rPr>
          <w:rFonts w:ascii="Arial" w:hAnsi="Arial" w:cs="Arial"/>
          <w:sz w:val="22"/>
          <w:szCs w:val="23"/>
        </w:rPr>
        <w:t xml:space="preserve">a tartósan beteg vagy fogyatékosságban szenvedő gyermek esetén a kiemelt családi pótlék folyósítását igazoló irat </w:t>
      </w:r>
    </w:p>
    <w:p w14:paraId="624AD68C" w14:textId="4B7893E8" w:rsidR="00517C01" w:rsidRPr="00517C01" w:rsidRDefault="00517C01" w:rsidP="00517C01">
      <w:pPr>
        <w:pStyle w:val="Default"/>
        <w:numPr>
          <w:ilvl w:val="0"/>
          <w:numId w:val="22"/>
        </w:numPr>
        <w:spacing w:after="9"/>
        <w:rPr>
          <w:rFonts w:ascii="Arial" w:hAnsi="Arial" w:cs="Arial"/>
          <w:sz w:val="22"/>
          <w:szCs w:val="23"/>
        </w:rPr>
      </w:pPr>
      <w:r w:rsidRPr="00517C01">
        <w:rPr>
          <w:rFonts w:ascii="Arial" w:hAnsi="Arial" w:cs="Arial"/>
          <w:sz w:val="22"/>
          <w:szCs w:val="23"/>
        </w:rPr>
        <w:t xml:space="preserve">házasság felbontása esetén: a házasság felbontásáról szóló bírósági végzés másolata a gyermek elhelyezését és tartását szabályozó bírósági ítélet, illetve egyezséget jóváhagyó végzés másolati példánya </w:t>
      </w:r>
    </w:p>
    <w:p w14:paraId="6C1595FE" w14:textId="34B11145" w:rsidR="00517C01" w:rsidRPr="00517C01" w:rsidRDefault="00517C01" w:rsidP="00517C01">
      <w:pPr>
        <w:pStyle w:val="Default"/>
        <w:numPr>
          <w:ilvl w:val="0"/>
          <w:numId w:val="23"/>
        </w:numPr>
        <w:spacing w:after="9"/>
        <w:rPr>
          <w:rFonts w:ascii="Arial" w:hAnsi="Arial" w:cs="Arial"/>
          <w:sz w:val="22"/>
          <w:szCs w:val="23"/>
        </w:rPr>
      </w:pPr>
      <w:r w:rsidRPr="00517C01">
        <w:rPr>
          <w:rFonts w:ascii="Arial" w:hAnsi="Arial" w:cs="Arial"/>
          <w:sz w:val="22"/>
          <w:szCs w:val="23"/>
        </w:rPr>
        <w:t xml:space="preserve">árvaellátás/özvegyi nyugdíj folyósítása esetén az előző 1 havi szelvényen kívül a Nyugdíjfolyósító Igazgatóság által küldött összesítő másolata, abban az esetben, ha az ellátásokat a Nyugdíjfolyósító Igazgatóság folyószámlára (bankszámla) utalja, a kérelem beadását megelőző havi folyószámla (bankszámla) kivonat másolata (amennyiben özvegyi nyugdíjra/árvaellátásra nem jogosult, az elutasító határozat másolata) </w:t>
      </w:r>
    </w:p>
    <w:p w14:paraId="13282903" w14:textId="32D9446B" w:rsidR="00517C01" w:rsidRPr="00517C01" w:rsidRDefault="00517C01" w:rsidP="00517C01">
      <w:pPr>
        <w:pStyle w:val="Default"/>
        <w:numPr>
          <w:ilvl w:val="0"/>
          <w:numId w:val="23"/>
        </w:numPr>
        <w:spacing w:after="9"/>
        <w:rPr>
          <w:rFonts w:ascii="Arial" w:hAnsi="Arial" w:cs="Arial"/>
          <w:sz w:val="22"/>
          <w:szCs w:val="23"/>
        </w:rPr>
      </w:pPr>
      <w:r w:rsidRPr="00517C01">
        <w:rPr>
          <w:rFonts w:ascii="Arial" w:hAnsi="Arial" w:cs="Arial"/>
          <w:sz w:val="22"/>
          <w:szCs w:val="23"/>
        </w:rPr>
        <w:t xml:space="preserve">GYES, GYET, családi pótlék folyósítása esetén: előző 1 havi szelvény másolata, abban az esetben, ha az ellátásokat folyószámlára (bankszámla) utalják, a kérelem beadását megelőző havi folyószámla (bankszámla) kivonat másolata </w:t>
      </w:r>
    </w:p>
    <w:p w14:paraId="06BA15C2" w14:textId="6EA04C89" w:rsidR="00517C01" w:rsidRPr="00517C01" w:rsidRDefault="00517C01" w:rsidP="00517C01">
      <w:pPr>
        <w:pStyle w:val="Default"/>
        <w:numPr>
          <w:ilvl w:val="0"/>
          <w:numId w:val="23"/>
        </w:numPr>
        <w:spacing w:after="9"/>
        <w:rPr>
          <w:rFonts w:ascii="Arial" w:hAnsi="Arial" w:cs="Arial"/>
          <w:sz w:val="22"/>
          <w:szCs w:val="23"/>
        </w:rPr>
      </w:pPr>
      <w:r w:rsidRPr="00517C01">
        <w:rPr>
          <w:rFonts w:ascii="Arial" w:hAnsi="Arial" w:cs="Arial"/>
          <w:sz w:val="22"/>
          <w:szCs w:val="23"/>
        </w:rPr>
        <w:t xml:space="preserve">vállalkozó esetén: a kérelem beadását megelőző 12 havi nettó átlagjövedelemről könyvelő által kiadott igazolás és a Nemzeti Adó- és Vámhivatal igazolása az előző gazdasági évre vonatkozólag </w:t>
      </w:r>
    </w:p>
    <w:p w14:paraId="2BE179C3" w14:textId="3BC62556" w:rsidR="00517C01" w:rsidRPr="00517C01" w:rsidRDefault="00517C01" w:rsidP="00517C01">
      <w:pPr>
        <w:pStyle w:val="Default"/>
        <w:numPr>
          <w:ilvl w:val="0"/>
          <w:numId w:val="23"/>
        </w:numPr>
        <w:spacing w:after="9"/>
        <w:rPr>
          <w:rFonts w:ascii="Arial" w:hAnsi="Arial" w:cs="Arial"/>
          <w:sz w:val="22"/>
          <w:szCs w:val="23"/>
        </w:rPr>
      </w:pPr>
      <w:r w:rsidRPr="00517C01">
        <w:rPr>
          <w:rFonts w:ascii="Arial" w:hAnsi="Arial" w:cs="Arial"/>
          <w:sz w:val="22"/>
          <w:szCs w:val="23"/>
        </w:rPr>
        <w:t xml:space="preserve">őstermelő esetén: az őstermelői igazolvány másolata, valamint a kérelem beadását megelőző 12 havi nettó átlagjövedelemről szóló igazolás </w:t>
      </w:r>
    </w:p>
    <w:p w14:paraId="0408EFDB" w14:textId="3A0AC6C0" w:rsidR="00517C01" w:rsidRPr="00517C01" w:rsidRDefault="00517C01" w:rsidP="00517C01">
      <w:pPr>
        <w:pStyle w:val="Default"/>
        <w:numPr>
          <w:ilvl w:val="0"/>
          <w:numId w:val="23"/>
        </w:numPr>
        <w:spacing w:after="9"/>
        <w:rPr>
          <w:rFonts w:ascii="Arial" w:hAnsi="Arial" w:cs="Arial"/>
          <w:sz w:val="22"/>
          <w:szCs w:val="23"/>
        </w:rPr>
      </w:pPr>
      <w:r w:rsidRPr="00517C01">
        <w:rPr>
          <w:rFonts w:ascii="Arial" w:hAnsi="Arial" w:cs="Arial"/>
          <w:sz w:val="22"/>
          <w:szCs w:val="23"/>
        </w:rPr>
        <w:t xml:space="preserve">nem havi rendszerességgel szerzett jövedelemről szóló nyilatkozat </w:t>
      </w:r>
    </w:p>
    <w:p w14:paraId="65E65902" w14:textId="34EA446F" w:rsidR="00517C01" w:rsidRPr="00517C01" w:rsidRDefault="00517C01" w:rsidP="00517C01">
      <w:pPr>
        <w:pStyle w:val="Default"/>
        <w:numPr>
          <w:ilvl w:val="0"/>
          <w:numId w:val="23"/>
        </w:numPr>
        <w:spacing w:after="9"/>
        <w:rPr>
          <w:rFonts w:ascii="Arial" w:hAnsi="Arial" w:cs="Arial"/>
          <w:sz w:val="22"/>
          <w:szCs w:val="23"/>
        </w:rPr>
      </w:pPr>
      <w:r w:rsidRPr="00517C01">
        <w:rPr>
          <w:rFonts w:ascii="Arial" w:hAnsi="Arial" w:cs="Arial"/>
          <w:sz w:val="22"/>
          <w:szCs w:val="23"/>
        </w:rPr>
        <w:t xml:space="preserve">Állami Foglalkoztatási Szerv által folyósított ellátás esetén a megállapító határozat másolata, a folyósított ellátás összegéről az előző 1 hónap szelvényének másolata </w:t>
      </w:r>
    </w:p>
    <w:p w14:paraId="50F18142" w14:textId="47ABCE3F" w:rsidR="00517C01" w:rsidRPr="00517C01" w:rsidRDefault="00517C01" w:rsidP="00517C01">
      <w:pPr>
        <w:pStyle w:val="Default"/>
        <w:numPr>
          <w:ilvl w:val="0"/>
          <w:numId w:val="23"/>
        </w:numPr>
        <w:spacing w:after="9"/>
        <w:rPr>
          <w:rFonts w:ascii="Arial" w:hAnsi="Arial" w:cs="Arial"/>
          <w:sz w:val="22"/>
          <w:szCs w:val="23"/>
        </w:rPr>
      </w:pPr>
      <w:r w:rsidRPr="00517C01">
        <w:rPr>
          <w:rFonts w:ascii="Arial" w:hAnsi="Arial" w:cs="Arial"/>
          <w:sz w:val="22"/>
          <w:szCs w:val="23"/>
        </w:rPr>
        <w:t xml:space="preserve">nyugdíjas esetében: a Nyugdíjfolyósító Igazgatóság által adott év elején küldött nyugdíjösszesítő fénymásolatát a folyósítás összegéről és jogcíméről, valamint a kérelem beadását megelőző 1 havi nyugdíjszelvény fénymásolatát, abban az esetben, ha a nyugdíjat a Nyugdíjfolyósító Igazgatóság folyószámlára (bankszámla) utalja, a kérelem beadását megelőző havi folyószámla (bankszámla) kivonat másolata </w:t>
      </w:r>
    </w:p>
    <w:p w14:paraId="5BF8B184" w14:textId="33EE2B29" w:rsidR="00517C01" w:rsidRPr="00517C01" w:rsidRDefault="00517C01" w:rsidP="00517C01">
      <w:pPr>
        <w:pStyle w:val="Default"/>
        <w:numPr>
          <w:ilvl w:val="0"/>
          <w:numId w:val="23"/>
        </w:numPr>
        <w:rPr>
          <w:rFonts w:ascii="Arial" w:hAnsi="Arial" w:cs="Arial"/>
          <w:sz w:val="22"/>
          <w:szCs w:val="23"/>
        </w:rPr>
      </w:pPr>
      <w:r w:rsidRPr="00517C01">
        <w:rPr>
          <w:rFonts w:ascii="Arial" w:hAnsi="Arial" w:cs="Arial"/>
          <w:sz w:val="22"/>
          <w:szCs w:val="23"/>
        </w:rPr>
        <w:t xml:space="preserve">munkaviszony esetén: a munkáltató által kiállított, 1 havi nettó jövedelemről szóló igazolás. </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lastRenderedPageBreak/>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lastRenderedPageBreak/>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 xml:space="preserve">A pályázó pályázata benyújtásával büntetőjogi felelősséget vállal azért, hogy az </w:t>
      </w:r>
      <w:proofErr w:type="spellStart"/>
      <w:r w:rsidRPr="003506BB">
        <w:rPr>
          <w:rFonts w:ascii="Arial" w:hAnsi="Arial" w:cs="Arial"/>
          <w:snapToGrid w:val="0"/>
          <w:sz w:val="22"/>
          <w:szCs w:val="22"/>
        </w:rPr>
        <w:t>EPER-Bursa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proofErr w:type="gramStart"/>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w:t>
      </w:r>
      <w:proofErr w:type="gramEnd"/>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proofErr w:type="gramStart"/>
      <w:r w:rsidRPr="009863F0">
        <w:rPr>
          <w:rFonts w:ascii="Arial" w:hAnsi="Arial" w:cs="Arial"/>
          <w:snapToGrid w:val="0"/>
          <w:sz w:val="22"/>
          <w:szCs w:val="22"/>
        </w:rPr>
        <w:t>http</w:t>
      </w:r>
      <w:proofErr w:type="gramEnd"/>
      <w:r w:rsidRPr="009863F0">
        <w:rPr>
          <w:rFonts w:ascii="Arial" w:hAnsi="Arial" w:cs="Arial"/>
          <w:snapToGrid w:val="0"/>
          <w:sz w:val="22"/>
          <w:szCs w:val="22"/>
        </w:rPr>
        <w:t>://www.emet.gov.hu/_userfiles/szervezet/kozlemenyek/adatkezelesi_tajekoztato_3_sz__melleket.pdf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5A1B785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B3CFA7F" w:rsidR="00114BBC" w:rsidRPr="00B77765" w:rsidRDefault="00CE05D2" w:rsidP="00681A4F">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w:t>
      </w:r>
      <w:r w:rsidR="002860C6">
        <w:rPr>
          <w:rFonts w:ascii="Arial" w:hAnsi="Arial" w:cs="Arial"/>
          <w:sz w:val="22"/>
          <w:szCs w:val="22"/>
        </w:rPr>
        <w:t xml:space="preserve"> 8</w:t>
      </w:r>
      <w:r w:rsidR="00114BBC" w:rsidRPr="00005A68">
        <w:rPr>
          <w:rFonts w:ascii="Arial" w:hAnsi="Arial" w:cs="Arial"/>
          <w:sz w:val="22"/>
          <w:szCs w:val="22"/>
        </w:rPr>
        <w:t xml:space="preserve"> </w:t>
      </w:r>
      <w:bookmarkStart w:id="0" w:name="_GoBack"/>
      <w:bookmarkEnd w:id="0"/>
      <w:r w:rsidR="00114BBC" w:rsidRPr="00005A68">
        <w:rPr>
          <w:rFonts w:ascii="Arial" w:hAnsi="Arial" w:cs="Arial"/>
          <w:sz w:val="22"/>
          <w:szCs w:val="22"/>
        </w:rPr>
        <w:t>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lastRenderedPageBreak/>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C272F3"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4FE0E62"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7107608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lastRenderedPageBreak/>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4613021"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7B4578"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DE83F26"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1CB869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lastRenderedPageBreak/>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w:t>
      </w:r>
      <w:proofErr w:type="gramStart"/>
      <w:r w:rsidR="00E00440">
        <w:rPr>
          <w:rFonts w:ascii="Arial" w:hAnsi="Arial" w:cs="Arial"/>
          <w:sz w:val="22"/>
          <w:szCs w:val="22"/>
        </w:rPr>
        <w:t>.,</w:t>
      </w:r>
      <w:proofErr w:type="gramEnd"/>
      <w:r w:rsidR="00E00440">
        <w:rPr>
          <w:rFonts w:ascii="Arial" w:hAnsi="Arial" w:cs="Arial"/>
          <w:sz w:val="22"/>
          <w:szCs w:val="22"/>
        </w:rPr>
        <w:t xml:space="preserve">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5D7CED2A" w14:textId="77777777" w:rsidR="006371FB" w:rsidRDefault="006371FB">
      <w:pPr>
        <w:pStyle w:val="Szvegtrzs"/>
        <w:tabs>
          <w:tab w:val="num" w:pos="0"/>
        </w:tabs>
        <w:rPr>
          <w:rFonts w:ascii="Arial" w:hAnsi="Arial" w:cs="Arial"/>
          <w:sz w:val="22"/>
          <w:szCs w:val="22"/>
        </w:rPr>
      </w:pPr>
    </w:p>
    <w:p w14:paraId="1CA3569A" w14:textId="77777777" w:rsidR="006371FB" w:rsidRDefault="006371FB">
      <w:pPr>
        <w:pStyle w:val="Szvegtrzs"/>
        <w:tabs>
          <w:tab w:val="num" w:pos="0"/>
        </w:tabs>
        <w:rPr>
          <w:rFonts w:ascii="Arial" w:hAnsi="Arial" w:cs="Arial"/>
          <w:sz w:val="22"/>
          <w:szCs w:val="22"/>
        </w:rPr>
      </w:pPr>
    </w:p>
    <w:p w14:paraId="413E0C77" w14:textId="77777777" w:rsidR="006371FB" w:rsidRDefault="006371FB">
      <w:pPr>
        <w:pStyle w:val="Szvegtrzs"/>
        <w:tabs>
          <w:tab w:val="num" w:pos="0"/>
        </w:tabs>
        <w:rPr>
          <w:rFonts w:ascii="Arial" w:hAnsi="Arial" w:cs="Arial"/>
          <w:sz w:val="22"/>
          <w:szCs w:val="22"/>
        </w:rPr>
      </w:pPr>
    </w:p>
    <w:p w14:paraId="047105C1" w14:textId="77777777" w:rsidR="006371FB" w:rsidRPr="00F90C26" w:rsidRDefault="006371FB">
      <w:pPr>
        <w:pStyle w:val="Szvegtrzs"/>
        <w:tabs>
          <w:tab w:val="num" w:pos="0"/>
        </w:tabs>
        <w:rPr>
          <w:rFonts w:ascii="Arial" w:hAnsi="Arial" w:cs="Arial"/>
          <w:sz w:val="22"/>
          <w:szCs w:val="22"/>
        </w:rPr>
      </w:pP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lastRenderedPageBreak/>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92A21" w14:textId="77777777" w:rsidR="00D5251B" w:rsidRDefault="00D5251B" w:rsidP="00F51BB6">
      <w:r>
        <w:separator/>
      </w:r>
    </w:p>
  </w:endnote>
  <w:endnote w:type="continuationSeparator" w:id="0">
    <w:p w14:paraId="793C1AC0" w14:textId="77777777" w:rsidR="00D5251B" w:rsidRDefault="00D5251B"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860C6">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AD896" w14:textId="77777777" w:rsidR="00D5251B" w:rsidRDefault="00D5251B" w:rsidP="00F51BB6">
      <w:r>
        <w:separator/>
      </w:r>
    </w:p>
  </w:footnote>
  <w:footnote w:type="continuationSeparator" w:id="0">
    <w:p w14:paraId="1537E383" w14:textId="77777777" w:rsidR="00D5251B" w:rsidRDefault="00D5251B"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w:t>
      </w:r>
      <w:proofErr w:type="spellStart"/>
      <w:r w:rsidRPr="002F6310">
        <w:rPr>
          <w:rFonts w:ascii="Arial" w:hAnsi="Arial" w:cs="Arial"/>
          <w:sz w:val="16"/>
          <w:szCs w:val="16"/>
        </w:rPr>
        <w:t>Eper-Bursa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3E341315"/>
    <w:multiLevelType w:val="hybridMultilevel"/>
    <w:tmpl w:val="1E366CA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nsid w:val="5779797F"/>
    <w:multiLevelType w:val="hybridMultilevel"/>
    <w:tmpl w:val="9BB0597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7"/>
  </w:num>
  <w:num w:numId="4">
    <w:abstractNumId w:val="11"/>
  </w:num>
  <w:num w:numId="5">
    <w:abstractNumId w:val="12"/>
  </w:num>
  <w:num w:numId="6">
    <w:abstractNumId w:val="2"/>
  </w:num>
  <w:num w:numId="7">
    <w:abstractNumId w:val="4"/>
  </w:num>
  <w:num w:numId="8">
    <w:abstractNumId w:val="18"/>
  </w:num>
  <w:num w:numId="9">
    <w:abstractNumId w:val="1"/>
  </w:num>
  <w:num w:numId="10">
    <w:abstractNumId w:val="16"/>
  </w:num>
  <w:num w:numId="11">
    <w:abstractNumId w:val="8"/>
  </w:num>
  <w:num w:numId="12">
    <w:abstractNumId w:val="19"/>
  </w:num>
  <w:num w:numId="13">
    <w:abstractNumId w:val="20"/>
  </w:num>
  <w:num w:numId="14">
    <w:abstractNumId w:val="5"/>
  </w:num>
  <w:num w:numId="15">
    <w:abstractNumId w:val="14"/>
  </w:num>
  <w:num w:numId="16">
    <w:abstractNumId w:val="0"/>
  </w:num>
  <w:num w:numId="17">
    <w:abstractNumId w:val="6"/>
  </w:num>
  <w:num w:numId="18">
    <w:abstractNumId w:val="13"/>
  </w:num>
  <w:num w:numId="19">
    <w:abstractNumId w:val="17"/>
  </w:num>
  <w:num w:numId="20">
    <w:abstractNumId w:val="10"/>
  </w:num>
  <w:num w:numId="21">
    <w:abstractNumId w:val="22"/>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860C6"/>
    <w:rsid w:val="002A118A"/>
    <w:rsid w:val="002A1730"/>
    <w:rsid w:val="002B4481"/>
    <w:rsid w:val="002B7C88"/>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17C01"/>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1FB"/>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8F700C"/>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5251B"/>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et.gov.hu" TargetMode="External"/><Relationship Id="rId5" Type="http://schemas.openxmlformats.org/officeDocument/2006/relationships/settings" Target="settings.xml"/><Relationship Id="rId10" Type="http://schemas.openxmlformats.org/officeDocument/2006/relationships/hyperlink" Target="mailto:bursa@emet.gov.hu" TargetMode="External"/><Relationship Id="rId4" Type="http://schemas.microsoft.com/office/2007/relationships/stylesWithEffects" Target="stylesWithEffects.xml"/><Relationship Id="rId9" Type="http://schemas.openxmlformats.org/officeDocument/2006/relationships/hyperlink" Target="https://bursa.emet.hu/paly/palybelep.aspx"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F319D-65E4-4301-8045-13E4A9C5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3268</Words>
  <Characters>22552</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25769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dr. Csomós Anita</cp:lastModifiedBy>
  <cp:revision>6</cp:revision>
  <cp:lastPrinted>2016-07-19T09:32:00Z</cp:lastPrinted>
  <dcterms:created xsi:type="dcterms:W3CDTF">2020-08-04T11:01:00Z</dcterms:created>
  <dcterms:modified xsi:type="dcterms:W3CDTF">2020-09-17T06:44:00Z</dcterms:modified>
</cp:coreProperties>
</file>